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8"/>
          <w:szCs w:val="48"/>
        </w:rPr>
      </w:pPr>
      <w:bookmarkStart w:colFirst="0" w:colLast="0" w:name="_dohclysyqvgy" w:id="0"/>
      <w:bookmarkEnd w:id="0"/>
      <w:r w:rsidDel="00000000" w:rsidR="00000000" w:rsidRPr="00000000">
        <w:rPr>
          <w:b w:val="1"/>
          <w:bCs w:val="1"/>
          <w:sz w:val="48"/>
          <w:szCs w:val="48"/>
          <w:rtl w:val="0"/>
        </w:rPr>
        <w:t xml:space="preserve">**Regulatory Abdication and Racialised Risk in Professional Discipline:</w:t>
      </w:r>
    </w:p>
    <w:p w:rsidR="00000000" w:rsidDel="00000000" w:rsidP="00000000" w:rsidRDefault="00000000" w:rsidRPr="00000000" w14:paraId="00000002">
      <w:pPr>
        <w:spacing w:after="240" w:before="240" w:lineRule="auto"/>
        <w:rPr>
          <w:sz w:val="24"/>
          <w:szCs w:val="24"/>
        </w:rPr>
      </w:pPr>
      <w:r w:rsidDel="00000000" w:rsidR="00000000" w:rsidRPr="00000000">
        <w:rPr>
          <w:sz w:val="24"/>
          <w:szCs w:val="24"/>
          <w:rtl w:val="0"/>
        </w:rPr>
        <w:t xml:space="preserve">A Doctrinal Analysis of SRA Decision‑Making in Case RGC‑000175478**</w:t>
      </w:r>
    </w:p>
    <w:p w:rsidR="00000000" w:rsidDel="00000000" w:rsidP="00000000" w:rsidRDefault="00000000" w:rsidRPr="00000000" w14:paraId="00000003">
      <w:pPr>
        <w:pStyle w:val="Heading2"/>
        <w:keepNext w:val="0"/>
        <w:keepLines w:val="0"/>
        <w:spacing w:after="80" w:lineRule="auto"/>
        <w:rPr>
          <w:b w:val="1"/>
          <w:bCs w:val="1"/>
          <w:sz w:val="36"/>
          <w:szCs w:val="36"/>
        </w:rPr>
      </w:pPr>
      <w:bookmarkStart w:colFirst="0" w:colLast="0" w:name="_jsagg5acsfu1" w:id="1"/>
      <w:bookmarkEnd w:id="1"/>
      <w:r w:rsidDel="00000000" w:rsidR="00000000" w:rsidRPr="00000000">
        <w:rPr>
          <w:b w:val="1"/>
          <w:bCs w:val="1"/>
          <w:sz w:val="36"/>
          <w:szCs w:val="36"/>
          <w:rtl w:val="0"/>
        </w:rPr>
        <w:t xml:space="preserve">Abstract</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This article examines the Solicitors Regulation Authority’s (SRA) “Decision Not to Investigate” in Case RGC‑000175478 concerning Mewies Solicitors Limited. Drawing on doctrinal analysis, administrative law principles, and the emerging literature on racialised risk in regulatory systems, the article argues that the SRA’s decision reflects a pattern of </w:t>
      </w:r>
      <w:r w:rsidDel="00000000" w:rsidR="00000000" w:rsidRPr="00000000">
        <w:rPr>
          <w:b w:val="1"/>
          <w:bCs w:val="1"/>
          <w:sz w:val="24"/>
          <w:szCs w:val="24"/>
          <w:rtl w:val="0"/>
        </w:rPr>
        <w:t xml:space="preserve">regulatory abdication</w:t>
      </w:r>
      <w:r w:rsidDel="00000000" w:rsidR="00000000" w:rsidRPr="00000000">
        <w:rPr>
          <w:sz w:val="24"/>
          <w:szCs w:val="24"/>
          <w:rtl w:val="0"/>
        </w:rPr>
        <w:t xml:space="preserve">: a failure to apply its own Principles, Enforcement Strategy, and Assessment Threshold Test to the evidence before it.</w:t>
      </w:r>
    </w:p>
    <w:p w:rsidR="00000000" w:rsidDel="00000000" w:rsidP="00000000" w:rsidRDefault="00000000" w:rsidRPr="00000000" w14:paraId="00000005">
      <w:pPr>
        <w:spacing w:after="240" w:before="240" w:lineRule="auto"/>
        <w:rPr>
          <w:sz w:val="24"/>
          <w:szCs w:val="24"/>
        </w:rPr>
      </w:pPr>
      <w:r w:rsidDel="00000000" w:rsidR="00000000" w:rsidRPr="00000000">
        <w:rPr>
          <w:sz w:val="24"/>
          <w:szCs w:val="24"/>
          <w:rtl w:val="0"/>
        </w:rPr>
        <w:t xml:space="preserve">The analysis demonstrates that the SRA’s reasoning is </w:t>
      </w:r>
      <w:r w:rsidDel="00000000" w:rsidR="00000000" w:rsidRPr="00000000">
        <w:rPr>
          <w:b w:val="1"/>
          <w:bCs w:val="1"/>
          <w:sz w:val="24"/>
          <w:szCs w:val="24"/>
          <w:rtl w:val="0"/>
        </w:rPr>
        <w:t xml:space="preserve">internally inconsistent</w:t>
      </w:r>
      <w:r w:rsidDel="00000000" w:rsidR="00000000" w:rsidRPr="00000000">
        <w:rPr>
          <w:sz w:val="24"/>
          <w:szCs w:val="24"/>
          <w:rtl w:val="0"/>
        </w:rPr>
        <w:t xml:space="preserve">, </w:t>
      </w:r>
      <w:r w:rsidDel="00000000" w:rsidR="00000000" w:rsidRPr="00000000">
        <w:rPr>
          <w:b w:val="1"/>
          <w:bCs w:val="1"/>
          <w:sz w:val="24"/>
          <w:szCs w:val="24"/>
          <w:rtl w:val="0"/>
        </w:rPr>
        <w:t xml:space="preserve">factually unsupported</w:t>
      </w:r>
      <w:r w:rsidDel="00000000" w:rsidR="00000000" w:rsidRPr="00000000">
        <w:rPr>
          <w:sz w:val="24"/>
          <w:szCs w:val="24"/>
          <w:rtl w:val="0"/>
        </w:rPr>
        <w:t xml:space="preserve">, and </w:t>
      </w:r>
      <w:r w:rsidDel="00000000" w:rsidR="00000000" w:rsidRPr="00000000">
        <w:rPr>
          <w:b w:val="1"/>
          <w:bCs w:val="1"/>
          <w:sz w:val="24"/>
          <w:szCs w:val="24"/>
          <w:rtl w:val="0"/>
        </w:rPr>
        <w:t xml:space="preserve">legally flawed</w:t>
      </w:r>
      <w:r w:rsidDel="00000000" w:rsidR="00000000" w:rsidRPr="00000000">
        <w:rPr>
          <w:sz w:val="24"/>
          <w:szCs w:val="24"/>
          <w:rtl w:val="0"/>
        </w:rPr>
        <w:t xml:space="preserve">, and that its approach creates a </w:t>
      </w:r>
      <w:r w:rsidDel="00000000" w:rsidR="00000000" w:rsidRPr="00000000">
        <w:rPr>
          <w:b w:val="1"/>
          <w:bCs w:val="1"/>
          <w:sz w:val="24"/>
          <w:szCs w:val="24"/>
          <w:rtl w:val="0"/>
        </w:rPr>
        <w:t xml:space="preserve">racialised structural risk</w:t>
      </w:r>
      <w:r w:rsidDel="00000000" w:rsidR="00000000" w:rsidRPr="00000000">
        <w:rPr>
          <w:sz w:val="24"/>
          <w:szCs w:val="24"/>
          <w:rtl w:val="0"/>
        </w:rPr>
        <w:t xml:space="preserve"> for complainants from minority backgrounds. The decision is now part of the public record, and its deficiencies warrant scholarly scrutiny.</w:t>
      </w:r>
    </w:p>
    <w:p w:rsidR="00000000" w:rsidDel="00000000" w:rsidP="00000000" w:rsidRDefault="00000000" w:rsidRPr="00000000" w14:paraId="00000006">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1"/>
        <w:keepNext w:val="0"/>
        <w:keepLines w:val="0"/>
        <w:spacing w:before="480" w:lineRule="auto"/>
        <w:rPr>
          <w:b w:val="1"/>
          <w:bCs w:val="1"/>
          <w:sz w:val="48"/>
          <w:szCs w:val="48"/>
        </w:rPr>
      </w:pPr>
      <w:bookmarkStart w:colFirst="0" w:colLast="0" w:name="_nzlv9tivl843" w:id="2"/>
      <w:bookmarkEnd w:id="2"/>
      <w:r w:rsidDel="00000000" w:rsidR="00000000" w:rsidRPr="00000000">
        <w:rPr>
          <w:b w:val="1"/>
          <w:bCs w:val="1"/>
          <w:sz w:val="48"/>
          <w:szCs w:val="48"/>
          <w:rtl w:val="0"/>
        </w:rPr>
        <w:t xml:space="preserve">1. Introduction</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Professional regulators occupy a unique position in the legal system: they are neither courts nor mere administrative bodies, but hybrid institutions tasked with safeguarding the rule of law, public trust, and the integrity of legal services. Their decisions must therefore be </w:t>
      </w:r>
      <w:r w:rsidDel="00000000" w:rsidR="00000000" w:rsidRPr="00000000">
        <w:rPr>
          <w:b w:val="1"/>
          <w:bCs w:val="1"/>
          <w:sz w:val="24"/>
          <w:szCs w:val="24"/>
          <w:rtl w:val="0"/>
        </w:rPr>
        <w:t xml:space="preserve">rational</w:t>
      </w:r>
      <w:r w:rsidDel="00000000" w:rsidR="00000000" w:rsidRPr="00000000">
        <w:rPr>
          <w:sz w:val="24"/>
          <w:szCs w:val="24"/>
          <w:rtl w:val="0"/>
        </w:rPr>
        <w:t xml:space="preserve">, </w:t>
      </w:r>
      <w:r w:rsidDel="00000000" w:rsidR="00000000" w:rsidRPr="00000000">
        <w:rPr>
          <w:b w:val="1"/>
          <w:bCs w:val="1"/>
          <w:sz w:val="24"/>
          <w:szCs w:val="24"/>
          <w:rtl w:val="0"/>
        </w:rPr>
        <w:t xml:space="preserve">evidence‑based</w:t>
      </w:r>
      <w:r w:rsidDel="00000000" w:rsidR="00000000" w:rsidRPr="00000000">
        <w:rPr>
          <w:sz w:val="24"/>
          <w:szCs w:val="24"/>
          <w:rtl w:val="0"/>
        </w:rPr>
        <w:t xml:space="preserve">, and </w:t>
      </w:r>
      <w:r w:rsidDel="00000000" w:rsidR="00000000" w:rsidRPr="00000000">
        <w:rPr>
          <w:b w:val="1"/>
          <w:bCs w:val="1"/>
          <w:sz w:val="24"/>
          <w:szCs w:val="24"/>
          <w:rtl w:val="0"/>
        </w:rPr>
        <w:t xml:space="preserve">consistent with their own regulatory framework</w:t>
      </w:r>
      <w:r w:rsidDel="00000000" w:rsidR="00000000" w:rsidRPr="00000000">
        <w:rPr>
          <w:sz w:val="24"/>
          <w:szCs w:val="24"/>
          <w:rtl w:val="0"/>
        </w:rPr>
        <w:t xml:space="preserve">.</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The SRA’s decision in Case RGC‑000175478 fails these standards. It concerns allegations that Mewies Solicitors Limited:</w:t>
      </w:r>
    </w:p>
    <w:p w:rsidR="00000000" w:rsidDel="00000000" w:rsidP="00000000" w:rsidRDefault="00000000" w:rsidRPr="00000000" w14:paraId="0000000A">
      <w:pPr>
        <w:numPr>
          <w:ilvl w:val="0"/>
          <w:numId w:val="12"/>
        </w:numPr>
        <w:spacing w:after="0" w:afterAutospacing="0" w:before="240" w:lineRule="auto"/>
        <w:ind w:left="720" w:hanging="360"/>
        <w:rPr>
          <w:sz w:val="24"/>
          <w:szCs w:val="24"/>
        </w:rPr>
      </w:pPr>
      <w:r w:rsidDel="00000000" w:rsidR="00000000" w:rsidRPr="00000000">
        <w:rPr>
          <w:sz w:val="24"/>
          <w:szCs w:val="24"/>
          <w:rtl w:val="0"/>
        </w:rPr>
        <w:t xml:space="preserve">Failed to disclose core authority documents (Deed of Assignment, Power of Attorney, original mortgage agreement).</w:t>
      </w:r>
    </w:p>
    <w:p w:rsidR="00000000" w:rsidDel="00000000" w:rsidP="00000000" w:rsidRDefault="00000000" w:rsidRPr="00000000" w14:paraId="0000000B">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Attempted to enforce eviction without legal standing.</w:t>
      </w:r>
    </w:p>
    <w:p w:rsidR="00000000" w:rsidDel="00000000" w:rsidP="00000000" w:rsidRDefault="00000000" w:rsidRPr="00000000" w14:paraId="0000000C">
      <w:pPr>
        <w:numPr>
          <w:ilvl w:val="0"/>
          <w:numId w:val="12"/>
        </w:numPr>
        <w:spacing w:after="240" w:before="0" w:beforeAutospacing="0" w:lineRule="auto"/>
        <w:ind w:left="720" w:hanging="360"/>
        <w:rPr>
          <w:sz w:val="24"/>
          <w:szCs w:val="24"/>
        </w:rPr>
      </w:pPr>
      <w:r w:rsidDel="00000000" w:rsidR="00000000" w:rsidRPr="00000000">
        <w:rPr>
          <w:sz w:val="24"/>
          <w:szCs w:val="24"/>
          <w:rtl w:val="0"/>
        </w:rPr>
        <w:t xml:space="preserve">Misrepresented interests to HM Land Registry.</w:t>
      </w:r>
    </w:p>
    <w:p w:rsidR="00000000" w:rsidDel="00000000" w:rsidP="00000000" w:rsidRDefault="00000000" w:rsidRPr="00000000" w14:paraId="0000000D">
      <w:pPr>
        <w:spacing w:after="240" w:before="240" w:lineRule="auto"/>
        <w:rPr>
          <w:sz w:val="24"/>
          <w:szCs w:val="24"/>
        </w:rPr>
      </w:pPr>
      <w:r w:rsidDel="00000000" w:rsidR="00000000" w:rsidRPr="00000000">
        <w:rPr>
          <w:sz w:val="24"/>
          <w:szCs w:val="24"/>
          <w:rtl w:val="0"/>
        </w:rPr>
        <w:t xml:space="preserve">The SRA declined to investigate. This article demonstrates why that decision is doctrinally unsound.</w:t>
      </w:r>
    </w:p>
    <w:p w:rsidR="00000000" w:rsidDel="00000000" w:rsidP="00000000" w:rsidRDefault="00000000" w:rsidRPr="00000000" w14:paraId="0000000E">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1"/>
        <w:keepNext w:val="0"/>
        <w:keepLines w:val="0"/>
        <w:spacing w:before="480" w:lineRule="auto"/>
        <w:rPr>
          <w:b w:val="1"/>
          <w:bCs w:val="1"/>
          <w:sz w:val="48"/>
          <w:szCs w:val="48"/>
        </w:rPr>
      </w:pPr>
      <w:bookmarkStart w:colFirst="0" w:colLast="0" w:name="_xt4pkx6p0pa" w:id="3"/>
      <w:bookmarkEnd w:id="3"/>
      <w:r w:rsidDel="00000000" w:rsidR="00000000" w:rsidRPr="00000000">
        <w:rPr>
          <w:b w:val="1"/>
          <w:bCs w:val="1"/>
          <w:sz w:val="48"/>
          <w:szCs w:val="48"/>
          <w:rtl w:val="0"/>
        </w:rPr>
        <w:t xml:space="preserve">2. Chronological Defect and Procedural Reliability</w:t>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The decision states:</w:t>
      </w:r>
    </w:p>
    <w:p w:rsidR="00000000" w:rsidDel="00000000" w:rsidP="00000000" w:rsidRDefault="00000000" w:rsidRPr="00000000" w14:paraId="00000011">
      <w:pPr>
        <w:spacing w:after="240" w:before="240" w:lineRule="auto"/>
        <w:ind w:left="600" w:right="600" w:firstLine="0"/>
        <w:rPr>
          <w:sz w:val="24"/>
          <w:szCs w:val="24"/>
        </w:rPr>
      </w:pPr>
      <w:r w:rsidDel="00000000" w:rsidR="00000000" w:rsidRPr="00000000">
        <w:rPr>
          <w:sz w:val="24"/>
          <w:szCs w:val="24"/>
          <w:rtl w:val="0"/>
        </w:rPr>
        <w:t xml:space="preserve">“On 13 November 2026, we received a report…”</w:t>
      </w:r>
    </w:p>
    <w:p w:rsidR="00000000" w:rsidDel="00000000" w:rsidP="00000000" w:rsidRDefault="00000000" w:rsidRPr="00000000" w14:paraId="00000012">
      <w:pPr>
        <w:spacing w:after="240" w:before="240" w:lineRule="auto"/>
        <w:rPr>
          <w:sz w:val="24"/>
          <w:szCs w:val="24"/>
        </w:rPr>
      </w:pPr>
      <w:r w:rsidDel="00000000" w:rsidR="00000000" w:rsidRPr="00000000">
        <w:rPr>
          <w:sz w:val="24"/>
          <w:szCs w:val="24"/>
          <w:rtl w:val="0"/>
        </w:rPr>
        <w:t xml:space="preserve">but is dated:</w:t>
      </w:r>
    </w:p>
    <w:p w:rsidR="00000000" w:rsidDel="00000000" w:rsidP="00000000" w:rsidRDefault="00000000" w:rsidRPr="00000000" w14:paraId="00000013">
      <w:pPr>
        <w:spacing w:after="240" w:before="240" w:lineRule="auto"/>
        <w:ind w:left="600" w:right="600" w:firstLine="0"/>
        <w:rPr>
          <w:b w:val="1"/>
          <w:bCs w:val="1"/>
          <w:sz w:val="24"/>
          <w:szCs w:val="24"/>
        </w:rPr>
      </w:pPr>
      <w:r w:rsidDel="00000000" w:rsidR="00000000" w:rsidRPr="00000000">
        <w:rPr>
          <w:b w:val="1"/>
          <w:bCs w:val="1"/>
          <w:sz w:val="24"/>
          <w:szCs w:val="24"/>
          <w:rtl w:val="0"/>
        </w:rPr>
        <w:t xml:space="preserve">18 February 2026</w:t>
      </w:r>
    </w:p>
    <w:p w:rsidR="00000000" w:rsidDel="00000000" w:rsidP="00000000" w:rsidRDefault="00000000" w:rsidRPr="00000000" w14:paraId="00000014">
      <w:pPr>
        <w:spacing w:after="240" w:before="240" w:lineRule="auto"/>
        <w:rPr>
          <w:sz w:val="24"/>
          <w:szCs w:val="24"/>
        </w:rPr>
      </w:pPr>
      <w:r w:rsidDel="00000000" w:rsidR="00000000" w:rsidRPr="00000000">
        <w:rPr>
          <w:sz w:val="24"/>
          <w:szCs w:val="24"/>
          <w:rtl w:val="0"/>
        </w:rPr>
        <w:t xml:space="preserve">This chronological impossibility is not a clerical triviality. In administrative law, a decision that cannot place the originating complaint in time raises concerns about:</w:t>
      </w:r>
    </w:p>
    <w:p w:rsidR="00000000" w:rsidDel="00000000" w:rsidP="00000000" w:rsidRDefault="00000000" w:rsidRPr="00000000" w14:paraId="00000015">
      <w:pPr>
        <w:numPr>
          <w:ilvl w:val="0"/>
          <w:numId w:val="2"/>
        </w:numPr>
        <w:spacing w:after="0" w:afterAutospacing="0" w:before="240" w:lineRule="auto"/>
        <w:ind w:left="720" w:hanging="360"/>
        <w:rPr>
          <w:sz w:val="24"/>
          <w:szCs w:val="24"/>
        </w:rPr>
      </w:pPr>
      <w:r w:rsidDel="00000000" w:rsidR="00000000" w:rsidRPr="00000000">
        <w:rPr>
          <w:b w:val="1"/>
          <w:bCs w:val="1"/>
          <w:sz w:val="24"/>
          <w:szCs w:val="24"/>
          <w:rtl w:val="0"/>
        </w:rPr>
        <w:t xml:space="preserve">whether the correct file was reviewed</w:t>
      </w:r>
      <w:r w:rsidDel="00000000" w:rsidR="00000000" w:rsidRPr="00000000">
        <w:rPr>
          <w:sz w:val="24"/>
          <w:szCs w:val="24"/>
          <w:rtl w:val="0"/>
        </w:rPr>
        <w:t xml:space="preserve">,</w:t>
      </w:r>
    </w:p>
    <w:p w:rsidR="00000000" w:rsidDel="00000000" w:rsidP="00000000" w:rsidRDefault="00000000" w:rsidRPr="00000000" w14:paraId="00000016">
      <w:pPr>
        <w:numPr>
          <w:ilvl w:val="0"/>
          <w:numId w:val="2"/>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whether the correct evidence was considered</w:t>
      </w:r>
      <w:r w:rsidDel="00000000" w:rsidR="00000000" w:rsidRPr="00000000">
        <w:rPr>
          <w:sz w:val="24"/>
          <w:szCs w:val="24"/>
          <w:rtl w:val="0"/>
        </w:rPr>
        <w:t xml:space="preserve">, and</w:t>
      </w:r>
    </w:p>
    <w:p w:rsidR="00000000" w:rsidDel="00000000" w:rsidP="00000000" w:rsidRDefault="00000000" w:rsidRPr="00000000" w14:paraId="00000017">
      <w:pPr>
        <w:numPr>
          <w:ilvl w:val="0"/>
          <w:numId w:val="2"/>
        </w:numPr>
        <w:spacing w:after="240" w:before="0" w:beforeAutospacing="0" w:lineRule="auto"/>
        <w:ind w:left="720" w:hanging="360"/>
        <w:rPr>
          <w:sz w:val="24"/>
          <w:szCs w:val="24"/>
        </w:rPr>
      </w:pPr>
      <w:r w:rsidDel="00000000" w:rsidR="00000000" w:rsidRPr="00000000">
        <w:rPr>
          <w:b w:val="1"/>
          <w:bCs w:val="1"/>
          <w:sz w:val="24"/>
          <w:szCs w:val="24"/>
          <w:rtl w:val="0"/>
        </w:rPr>
        <w:t xml:space="preserve">whether the decision was produced using a template without case‑specific scrutiny</w:t>
      </w:r>
      <w:r w:rsidDel="00000000" w:rsidR="00000000" w:rsidRPr="00000000">
        <w:rPr>
          <w:sz w:val="24"/>
          <w:szCs w:val="24"/>
          <w:rtl w:val="0"/>
        </w:rPr>
        <w:t xml:space="preserve">.</w:t>
      </w:r>
    </w:p>
    <w:p w:rsidR="00000000" w:rsidDel="00000000" w:rsidP="00000000" w:rsidRDefault="00000000" w:rsidRPr="00000000" w14:paraId="00000018">
      <w:pPr>
        <w:spacing w:after="240" w:before="240" w:lineRule="auto"/>
        <w:rPr>
          <w:sz w:val="24"/>
          <w:szCs w:val="24"/>
        </w:rPr>
      </w:pPr>
      <w:r w:rsidDel="00000000" w:rsidR="00000000" w:rsidRPr="00000000">
        <w:rPr>
          <w:sz w:val="24"/>
          <w:szCs w:val="24"/>
          <w:rtl w:val="0"/>
        </w:rPr>
        <w:t xml:space="preserve">A regulator exercising quasi‑judicial functions must demonstrate procedural reliability. Here, the decision fails at the threshold.</w:t>
      </w:r>
    </w:p>
    <w:p w:rsidR="00000000" w:rsidDel="00000000" w:rsidP="00000000" w:rsidRDefault="00000000" w:rsidRPr="00000000" w14:paraId="00000019">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1"/>
        <w:keepNext w:val="0"/>
        <w:keepLines w:val="0"/>
        <w:spacing w:before="480" w:lineRule="auto"/>
        <w:rPr>
          <w:b w:val="1"/>
          <w:bCs w:val="1"/>
          <w:sz w:val="48"/>
          <w:szCs w:val="48"/>
        </w:rPr>
      </w:pPr>
      <w:bookmarkStart w:colFirst="0" w:colLast="0" w:name="_xfbhx895bsin" w:id="4"/>
      <w:bookmarkEnd w:id="4"/>
      <w:r w:rsidDel="00000000" w:rsidR="00000000" w:rsidRPr="00000000">
        <w:rPr>
          <w:b w:val="1"/>
          <w:bCs w:val="1"/>
          <w:sz w:val="48"/>
          <w:szCs w:val="48"/>
          <w:rtl w:val="0"/>
        </w:rPr>
        <w:t xml:space="preserve">3. Doctrinal Analysis of Concern 1: Failure to Disclose Legal Authority</w:t>
      </w:r>
    </w:p>
    <w:p w:rsidR="00000000" w:rsidDel="00000000" w:rsidP="00000000" w:rsidRDefault="00000000" w:rsidRPr="00000000" w14:paraId="0000001B">
      <w:pPr>
        <w:pStyle w:val="Heading2"/>
        <w:keepNext w:val="0"/>
        <w:keepLines w:val="0"/>
        <w:spacing w:after="80" w:lineRule="auto"/>
        <w:rPr>
          <w:b w:val="1"/>
          <w:bCs w:val="1"/>
          <w:sz w:val="36"/>
          <w:szCs w:val="36"/>
        </w:rPr>
      </w:pPr>
      <w:bookmarkStart w:colFirst="0" w:colLast="0" w:name="_at43r9weka7b" w:id="5"/>
      <w:bookmarkEnd w:id="5"/>
      <w:r w:rsidDel="00000000" w:rsidR="00000000" w:rsidRPr="00000000">
        <w:rPr>
          <w:b w:val="1"/>
          <w:bCs w:val="1"/>
          <w:sz w:val="36"/>
          <w:szCs w:val="36"/>
          <w:rtl w:val="0"/>
        </w:rPr>
        <w:t xml:space="preserve">3.1 Misapplication of Paragraph 1.4 (Misleading Others)</w:t>
      </w:r>
    </w:p>
    <w:p w:rsidR="00000000" w:rsidDel="00000000" w:rsidP="00000000" w:rsidRDefault="00000000" w:rsidRPr="00000000" w14:paraId="0000001C">
      <w:pPr>
        <w:spacing w:after="240" w:before="240" w:lineRule="auto"/>
        <w:rPr>
          <w:sz w:val="24"/>
          <w:szCs w:val="24"/>
        </w:rPr>
      </w:pPr>
      <w:r w:rsidDel="00000000" w:rsidR="00000000" w:rsidRPr="00000000">
        <w:rPr>
          <w:sz w:val="24"/>
          <w:szCs w:val="24"/>
          <w:rtl w:val="0"/>
        </w:rPr>
        <w:t xml:space="preserve">The SRA frames the issue as whether there is “conclusive evidence” of </w:t>
      </w:r>
      <w:r w:rsidDel="00000000" w:rsidR="00000000" w:rsidRPr="00000000">
        <w:rPr>
          <w:b w:val="1"/>
          <w:bCs w:val="1"/>
          <w:sz w:val="24"/>
          <w:szCs w:val="24"/>
          <w:rtl w:val="0"/>
        </w:rPr>
        <w:t xml:space="preserve">deliberate</w:t>
      </w:r>
      <w:r w:rsidDel="00000000" w:rsidR="00000000" w:rsidRPr="00000000">
        <w:rPr>
          <w:sz w:val="24"/>
          <w:szCs w:val="24"/>
          <w:rtl w:val="0"/>
        </w:rPr>
        <w:t xml:space="preserve"> withholding “in an attempt to mislead”. This is doctrinally incorrect.</w:t>
      </w:r>
    </w:p>
    <w:p w:rsidR="00000000" w:rsidDel="00000000" w:rsidP="00000000" w:rsidRDefault="00000000" w:rsidRPr="00000000" w14:paraId="0000001D">
      <w:pPr>
        <w:spacing w:after="240" w:before="240" w:lineRule="auto"/>
        <w:rPr>
          <w:sz w:val="24"/>
          <w:szCs w:val="24"/>
        </w:rPr>
      </w:pPr>
      <w:r w:rsidDel="00000000" w:rsidR="00000000" w:rsidRPr="00000000">
        <w:rPr>
          <w:sz w:val="24"/>
          <w:szCs w:val="24"/>
          <w:rtl w:val="0"/>
        </w:rPr>
        <w:t xml:space="preserve">Paragraph 1.4 of the SRA Code of Conduct prohibits:</w:t>
      </w:r>
    </w:p>
    <w:p w:rsidR="00000000" w:rsidDel="00000000" w:rsidP="00000000" w:rsidRDefault="00000000" w:rsidRPr="00000000" w14:paraId="0000001E">
      <w:pPr>
        <w:numPr>
          <w:ilvl w:val="0"/>
          <w:numId w:val="8"/>
        </w:numPr>
        <w:spacing w:after="0" w:afterAutospacing="0" w:before="240" w:lineRule="auto"/>
        <w:ind w:left="720" w:hanging="360"/>
        <w:rPr>
          <w:sz w:val="24"/>
          <w:szCs w:val="24"/>
        </w:rPr>
      </w:pPr>
      <w:r w:rsidDel="00000000" w:rsidR="00000000" w:rsidRPr="00000000">
        <w:rPr>
          <w:sz w:val="24"/>
          <w:szCs w:val="24"/>
          <w:rtl w:val="0"/>
        </w:rPr>
        <w:t xml:space="preserve">misleading conduct,</w:t>
      </w:r>
    </w:p>
    <w:p w:rsidR="00000000" w:rsidDel="00000000" w:rsidP="00000000" w:rsidRDefault="00000000" w:rsidRPr="00000000" w14:paraId="0000001F">
      <w:pPr>
        <w:numPr>
          <w:ilvl w:val="0"/>
          <w:numId w:val="8"/>
        </w:numPr>
        <w:spacing w:after="0" w:afterAutospacing="0" w:before="0" w:beforeAutospacing="0" w:lineRule="auto"/>
        <w:ind w:left="720" w:hanging="360"/>
        <w:rPr>
          <w:sz w:val="24"/>
          <w:szCs w:val="24"/>
        </w:rPr>
      </w:pPr>
      <w:r w:rsidDel="00000000" w:rsidR="00000000" w:rsidRPr="00000000">
        <w:rPr>
          <w:sz w:val="24"/>
          <w:szCs w:val="24"/>
          <w:rtl w:val="0"/>
        </w:rPr>
        <w:t xml:space="preserve">conduct that risks misleading,</w:t>
      </w:r>
    </w:p>
    <w:p w:rsidR="00000000" w:rsidDel="00000000" w:rsidP="00000000" w:rsidRDefault="00000000" w:rsidRPr="00000000" w14:paraId="00000020">
      <w:pPr>
        <w:numPr>
          <w:ilvl w:val="0"/>
          <w:numId w:val="8"/>
        </w:numPr>
        <w:spacing w:after="0" w:afterAutospacing="0" w:before="0" w:beforeAutospacing="0" w:lineRule="auto"/>
        <w:ind w:left="720" w:hanging="360"/>
        <w:rPr>
          <w:sz w:val="24"/>
          <w:szCs w:val="24"/>
        </w:rPr>
      </w:pPr>
      <w:r w:rsidDel="00000000" w:rsidR="00000000" w:rsidRPr="00000000">
        <w:rPr>
          <w:sz w:val="24"/>
          <w:szCs w:val="24"/>
          <w:rtl w:val="0"/>
        </w:rPr>
        <w:t xml:space="preserve">reckless omissions,</w:t>
      </w:r>
    </w:p>
    <w:p w:rsidR="00000000" w:rsidDel="00000000" w:rsidP="00000000" w:rsidRDefault="00000000" w:rsidRPr="00000000" w14:paraId="00000021">
      <w:pPr>
        <w:numPr>
          <w:ilvl w:val="0"/>
          <w:numId w:val="8"/>
        </w:numPr>
        <w:spacing w:after="240" w:before="0" w:beforeAutospacing="0" w:lineRule="auto"/>
        <w:ind w:left="720" w:hanging="360"/>
        <w:rPr>
          <w:sz w:val="24"/>
          <w:szCs w:val="24"/>
        </w:rPr>
      </w:pPr>
      <w:r w:rsidDel="00000000" w:rsidR="00000000" w:rsidRPr="00000000">
        <w:rPr>
          <w:sz w:val="24"/>
          <w:szCs w:val="24"/>
          <w:rtl w:val="0"/>
        </w:rPr>
        <w:t xml:space="preserve">careless representations.</w:t>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The SRA’s focus on </w:t>
      </w:r>
      <w:r w:rsidDel="00000000" w:rsidR="00000000" w:rsidRPr="00000000">
        <w:rPr>
          <w:i w:val="1"/>
          <w:iCs w:val="1"/>
          <w:sz w:val="24"/>
          <w:szCs w:val="24"/>
          <w:rtl w:val="0"/>
        </w:rPr>
        <w:t xml:space="preserve">intentional</w:t>
      </w:r>
      <w:r w:rsidDel="00000000" w:rsidR="00000000" w:rsidRPr="00000000">
        <w:rPr>
          <w:sz w:val="24"/>
          <w:szCs w:val="24"/>
          <w:rtl w:val="0"/>
        </w:rPr>
        <w:t xml:space="preserve"> deception imports a mens rea requirement that the Code does not contain.</w:t>
      </w:r>
    </w:p>
    <w:p w:rsidR="00000000" w:rsidDel="00000000" w:rsidP="00000000" w:rsidRDefault="00000000" w:rsidRPr="00000000" w14:paraId="00000023">
      <w:pPr>
        <w:pStyle w:val="Heading2"/>
        <w:keepNext w:val="0"/>
        <w:keepLines w:val="0"/>
        <w:spacing w:after="80" w:lineRule="auto"/>
        <w:rPr>
          <w:b w:val="1"/>
          <w:bCs w:val="1"/>
          <w:sz w:val="36"/>
          <w:szCs w:val="36"/>
        </w:rPr>
      </w:pPr>
      <w:bookmarkStart w:colFirst="0" w:colLast="0" w:name="_kyav4ca4ujaf" w:id="6"/>
      <w:bookmarkEnd w:id="6"/>
      <w:r w:rsidDel="00000000" w:rsidR="00000000" w:rsidRPr="00000000">
        <w:rPr>
          <w:b w:val="1"/>
          <w:bCs w:val="1"/>
          <w:sz w:val="36"/>
          <w:szCs w:val="36"/>
          <w:rtl w:val="0"/>
        </w:rPr>
        <w:t xml:space="preserve">3.2 Evidential Mischaracterisation</w:t>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The SRA accepts the firm’s “unawareness” of the existence of core authority documents as exculpatory. In mortgage litigation, the Deed of Assignment and Power of Attorney are </w:t>
      </w:r>
      <w:r w:rsidDel="00000000" w:rsidR="00000000" w:rsidRPr="00000000">
        <w:rPr>
          <w:b w:val="1"/>
          <w:bCs w:val="1"/>
          <w:sz w:val="24"/>
          <w:szCs w:val="24"/>
          <w:rtl w:val="0"/>
        </w:rPr>
        <w:t xml:space="preserve">foundational instruments of title</w:t>
      </w:r>
      <w:r w:rsidDel="00000000" w:rsidR="00000000" w:rsidRPr="00000000">
        <w:rPr>
          <w:sz w:val="24"/>
          <w:szCs w:val="24"/>
          <w:rtl w:val="0"/>
        </w:rPr>
        <w:t xml:space="preserve">. A firm litigating without knowing whether such documents exist is not in a neutral position; it is in a position of </w:t>
      </w:r>
      <w:r w:rsidDel="00000000" w:rsidR="00000000" w:rsidRPr="00000000">
        <w:rPr>
          <w:b w:val="1"/>
          <w:bCs w:val="1"/>
          <w:sz w:val="24"/>
          <w:szCs w:val="24"/>
          <w:rtl w:val="0"/>
        </w:rPr>
        <w:t xml:space="preserve">potential lack of standing</w:t>
      </w:r>
      <w:r w:rsidDel="00000000" w:rsidR="00000000" w:rsidRPr="00000000">
        <w:rPr>
          <w:sz w:val="24"/>
          <w:szCs w:val="24"/>
          <w:rtl w:val="0"/>
        </w:rPr>
        <w:t xml:space="preserve">.</w:t>
      </w:r>
    </w:p>
    <w:p w:rsidR="00000000" w:rsidDel="00000000" w:rsidP="00000000" w:rsidRDefault="00000000" w:rsidRPr="00000000" w14:paraId="00000025">
      <w:pPr>
        <w:spacing w:after="240" w:before="240" w:lineRule="auto"/>
        <w:rPr>
          <w:sz w:val="24"/>
          <w:szCs w:val="24"/>
        </w:rPr>
      </w:pPr>
      <w:r w:rsidDel="00000000" w:rsidR="00000000" w:rsidRPr="00000000">
        <w:rPr>
          <w:sz w:val="24"/>
          <w:szCs w:val="24"/>
          <w:rtl w:val="0"/>
        </w:rPr>
        <w:t xml:space="preserve">The transcript records:</w:t>
      </w:r>
    </w:p>
    <w:p w:rsidR="00000000" w:rsidDel="00000000" w:rsidP="00000000" w:rsidRDefault="00000000" w:rsidRPr="00000000" w14:paraId="00000026">
      <w:pPr>
        <w:spacing w:after="240" w:before="240" w:lineRule="auto"/>
        <w:ind w:left="600" w:right="600" w:firstLine="0"/>
        <w:rPr>
          <w:sz w:val="24"/>
          <w:szCs w:val="24"/>
        </w:rPr>
      </w:pPr>
      <w:r w:rsidDel="00000000" w:rsidR="00000000" w:rsidRPr="00000000">
        <w:rPr>
          <w:sz w:val="24"/>
          <w:szCs w:val="24"/>
          <w:rtl w:val="0"/>
        </w:rPr>
        <w:t xml:space="preserve">“The mortgage payments and Deed of Assignment, which is very necessary…” (Transcript, p.8)</w:t>
      </w:r>
    </w:p>
    <w:p w:rsidR="00000000" w:rsidDel="00000000" w:rsidP="00000000" w:rsidRDefault="00000000" w:rsidRPr="00000000" w14:paraId="00000027">
      <w:pPr>
        <w:spacing w:after="240" w:before="240" w:lineRule="auto"/>
        <w:rPr>
          <w:sz w:val="24"/>
          <w:szCs w:val="24"/>
        </w:rPr>
      </w:pPr>
      <w:r w:rsidDel="00000000" w:rsidR="00000000" w:rsidRPr="00000000">
        <w:rPr>
          <w:sz w:val="24"/>
          <w:szCs w:val="24"/>
          <w:rtl w:val="0"/>
        </w:rPr>
        <w:t xml:space="preserve">The SRA’s reasoning ignores this evidential context.</w:t>
      </w:r>
    </w:p>
    <w:p w:rsidR="00000000" w:rsidDel="00000000" w:rsidP="00000000" w:rsidRDefault="00000000" w:rsidRPr="00000000" w14:paraId="00000028">
      <w:pPr>
        <w:pStyle w:val="Heading2"/>
        <w:keepNext w:val="0"/>
        <w:keepLines w:val="0"/>
        <w:spacing w:after="80" w:lineRule="auto"/>
        <w:rPr>
          <w:b w:val="1"/>
          <w:bCs w:val="1"/>
          <w:sz w:val="36"/>
          <w:szCs w:val="36"/>
        </w:rPr>
      </w:pPr>
      <w:bookmarkStart w:colFirst="0" w:colLast="0" w:name="_pmqpi7ng72n0" w:id="7"/>
      <w:bookmarkEnd w:id="7"/>
      <w:r w:rsidDel="00000000" w:rsidR="00000000" w:rsidRPr="00000000">
        <w:rPr>
          <w:b w:val="1"/>
          <w:bCs w:val="1"/>
          <w:sz w:val="36"/>
          <w:szCs w:val="36"/>
          <w:rtl w:val="0"/>
        </w:rPr>
        <w:t xml:space="preserve">3.3 Reliance on Court Process Contrary to the Transcript</w:t>
      </w:r>
    </w:p>
    <w:p w:rsidR="00000000" w:rsidDel="00000000" w:rsidP="00000000" w:rsidRDefault="00000000" w:rsidRPr="00000000" w14:paraId="00000029">
      <w:pPr>
        <w:spacing w:after="240" w:before="240" w:lineRule="auto"/>
        <w:rPr>
          <w:sz w:val="24"/>
          <w:szCs w:val="24"/>
        </w:rPr>
      </w:pPr>
      <w:r w:rsidDel="00000000" w:rsidR="00000000" w:rsidRPr="00000000">
        <w:rPr>
          <w:sz w:val="24"/>
          <w:szCs w:val="24"/>
          <w:rtl w:val="0"/>
        </w:rPr>
        <w:t xml:space="preserve">The SRA asserts that the matter could be brought before the court. It was. The court refused disclosure on </w:t>
      </w:r>
      <w:r w:rsidDel="00000000" w:rsidR="00000000" w:rsidRPr="00000000">
        <w:rPr>
          <w:b w:val="1"/>
          <w:bCs w:val="1"/>
          <w:sz w:val="24"/>
          <w:szCs w:val="24"/>
          <w:rtl w:val="0"/>
        </w:rPr>
        <w:t xml:space="preserve">technical CPR 31.16 grounds</w:t>
      </w:r>
      <w:r w:rsidDel="00000000" w:rsidR="00000000" w:rsidRPr="00000000">
        <w:rPr>
          <w:sz w:val="24"/>
          <w:szCs w:val="24"/>
          <w:rtl w:val="0"/>
        </w:rPr>
        <w:t xml:space="preserve">, not on the merits:</w:t>
      </w:r>
    </w:p>
    <w:p w:rsidR="00000000" w:rsidDel="00000000" w:rsidP="00000000" w:rsidRDefault="00000000" w:rsidRPr="00000000" w14:paraId="0000002A">
      <w:pPr>
        <w:spacing w:after="240" w:before="240" w:lineRule="auto"/>
        <w:ind w:left="600" w:right="600" w:firstLine="0"/>
        <w:rPr>
          <w:sz w:val="24"/>
          <w:szCs w:val="24"/>
        </w:rPr>
      </w:pPr>
      <w:r w:rsidDel="00000000" w:rsidR="00000000" w:rsidRPr="00000000">
        <w:rPr>
          <w:sz w:val="24"/>
          <w:szCs w:val="24"/>
          <w:rtl w:val="0"/>
        </w:rPr>
        <w:t xml:space="preserve">“It does not follow the CPR… The court is not here to remedy and make applications better…” (Transcript, p.10)</w:t>
      </w:r>
    </w:p>
    <w:p w:rsidR="00000000" w:rsidDel="00000000" w:rsidP="00000000" w:rsidRDefault="00000000" w:rsidRPr="00000000" w14:paraId="0000002B">
      <w:pPr>
        <w:spacing w:after="240" w:before="240" w:lineRule="auto"/>
        <w:rPr>
          <w:sz w:val="24"/>
          <w:szCs w:val="24"/>
        </w:rPr>
      </w:pPr>
      <w:r w:rsidDel="00000000" w:rsidR="00000000" w:rsidRPr="00000000">
        <w:rPr>
          <w:sz w:val="24"/>
          <w:szCs w:val="24"/>
          <w:rtl w:val="0"/>
        </w:rPr>
        <w:t xml:space="preserve">Thus:</w:t>
      </w:r>
    </w:p>
    <w:p w:rsidR="00000000" w:rsidDel="00000000" w:rsidP="00000000" w:rsidRDefault="00000000" w:rsidRPr="00000000" w14:paraId="0000002C">
      <w:pPr>
        <w:numPr>
          <w:ilvl w:val="0"/>
          <w:numId w:val="9"/>
        </w:numPr>
        <w:spacing w:after="0" w:afterAutospacing="0" w:before="24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determine that the firm had authority.</w:t>
      </w:r>
    </w:p>
    <w:p w:rsidR="00000000" w:rsidDel="00000000" w:rsidP="00000000" w:rsidRDefault="00000000" w:rsidRPr="00000000" w14:paraId="0000002D">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determine that the concerns were unfounded.</w:t>
      </w:r>
    </w:p>
    <w:p w:rsidR="00000000" w:rsidDel="00000000" w:rsidP="00000000" w:rsidRDefault="00000000" w:rsidRPr="00000000" w14:paraId="0000002E">
      <w:pPr>
        <w:numPr>
          <w:ilvl w:val="0"/>
          <w:numId w:val="9"/>
        </w:numPr>
        <w:spacing w:after="240" w:before="0" w:beforeAutospacing="0" w:lineRule="auto"/>
        <w:ind w:left="720" w:hanging="360"/>
        <w:rPr>
          <w:sz w:val="24"/>
          <w:szCs w:val="24"/>
        </w:rPr>
      </w:pPr>
      <w:r w:rsidDel="00000000" w:rsidR="00000000" w:rsidRPr="00000000">
        <w:rPr>
          <w:sz w:val="24"/>
          <w:szCs w:val="24"/>
          <w:rtl w:val="0"/>
        </w:rPr>
        <w:t xml:space="preserve">The court did </w:t>
      </w:r>
      <w:r w:rsidDel="00000000" w:rsidR="00000000" w:rsidRPr="00000000">
        <w:rPr>
          <w:b w:val="1"/>
          <w:bCs w:val="1"/>
          <w:sz w:val="24"/>
          <w:szCs w:val="24"/>
          <w:rtl w:val="0"/>
        </w:rPr>
        <w:t xml:space="preserve">not</w:t>
      </w:r>
      <w:r w:rsidDel="00000000" w:rsidR="00000000" w:rsidRPr="00000000">
        <w:rPr>
          <w:sz w:val="24"/>
          <w:szCs w:val="24"/>
          <w:rtl w:val="0"/>
        </w:rPr>
        <w:t xml:space="preserve"> test the documents.</w:t>
      </w:r>
    </w:p>
    <w:p w:rsidR="00000000" w:rsidDel="00000000" w:rsidP="00000000" w:rsidRDefault="00000000" w:rsidRPr="00000000" w14:paraId="0000002F">
      <w:pPr>
        <w:spacing w:after="240" w:before="240" w:lineRule="auto"/>
        <w:rPr>
          <w:sz w:val="24"/>
          <w:szCs w:val="24"/>
        </w:rPr>
      </w:pPr>
      <w:r w:rsidDel="00000000" w:rsidR="00000000" w:rsidRPr="00000000">
        <w:rPr>
          <w:sz w:val="24"/>
          <w:szCs w:val="24"/>
          <w:rtl w:val="0"/>
        </w:rPr>
        <w:t xml:space="preserve">The SRA’s reliance on the court process is therefore doctrinally misplaced.</w:t>
      </w:r>
    </w:p>
    <w:p w:rsidR="00000000" w:rsidDel="00000000" w:rsidP="00000000" w:rsidRDefault="00000000" w:rsidRPr="00000000" w14:paraId="00000030">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spacing w:before="480" w:lineRule="auto"/>
        <w:rPr>
          <w:b w:val="1"/>
          <w:bCs w:val="1"/>
          <w:sz w:val="48"/>
          <w:szCs w:val="48"/>
        </w:rPr>
      </w:pPr>
      <w:bookmarkStart w:colFirst="0" w:colLast="0" w:name="_p71c9f4b67dd" w:id="8"/>
      <w:bookmarkEnd w:id="8"/>
      <w:r w:rsidDel="00000000" w:rsidR="00000000" w:rsidRPr="00000000">
        <w:rPr>
          <w:b w:val="1"/>
          <w:bCs w:val="1"/>
          <w:sz w:val="48"/>
          <w:szCs w:val="48"/>
          <w:rtl w:val="0"/>
        </w:rPr>
        <w:t xml:space="preserve">4. Doctrinal Analysis of Concern 2: Eviction Without Standing</w:t>
      </w:r>
    </w:p>
    <w:p w:rsidR="00000000" w:rsidDel="00000000" w:rsidP="00000000" w:rsidRDefault="00000000" w:rsidRPr="00000000" w14:paraId="00000032">
      <w:pPr>
        <w:pStyle w:val="Heading2"/>
        <w:keepNext w:val="0"/>
        <w:keepLines w:val="0"/>
        <w:spacing w:after="80" w:lineRule="auto"/>
        <w:rPr>
          <w:b w:val="1"/>
          <w:bCs w:val="1"/>
          <w:sz w:val="36"/>
          <w:szCs w:val="36"/>
        </w:rPr>
      </w:pPr>
      <w:bookmarkStart w:colFirst="0" w:colLast="0" w:name="_k1gwxvdsdsb" w:id="9"/>
      <w:bookmarkEnd w:id="9"/>
      <w:r w:rsidDel="00000000" w:rsidR="00000000" w:rsidRPr="00000000">
        <w:rPr>
          <w:b w:val="1"/>
          <w:bCs w:val="1"/>
          <w:sz w:val="36"/>
          <w:szCs w:val="36"/>
          <w:rtl w:val="0"/>
        </w:rPr>
        <w:t xml:space="preserve">4.1 False Jurisdictional Boundary</w:t>
      </w:r>
    </w:p>
    <w:p w:rsidR="00000000" w:rsidDel="00000000" w:rsidP="00000000" w:rsidRDefault="00000000" w:rsidRPr="00000000" w14:paraId="00000033">
      <w:pPr>
        <w:spacing w:after="240" w:before="240" w:lineRule="auto"/>
        <w:rPr>
          <w:sz w:val="24"/>
          <w:szCs w:val="24"/>
        </w:rPr>
      </w:pPr>
      <w:r w:rsidDel="00000000" w:rsidR="00000000" w:rsidRPr="00000000">
        <w:rPr>
          <w:sz w:val="24"/>
          <w:szCs w:val="24"/>
          <w:rtl w:val="0"/>
        </w:rPr>
        <w:t xml:space="preserve">The SRA states:</w:t>
      </w:r>
    </w:p>
    <w:p w:rsidR="00000000" w:rsidDel="00000000" w:rsidP="00000000" w:rsidRDefault="00000000" w:rsidRPr="00000000" w14:paraId="00000034">
      <w:pPr>
        <w:spacing w:after="240" w:before="240" w:lineRule="auto"/>
        <w:ind w:left="600" w:right="600" w:firstLine="0"/>
        <w:rPr>
          <w:sz w:val="24"/>
          <w:szCs w:val="24"/>
        </w:rPr>
      </w:pPr>
      <w:r w:rsidDel="00000000" w:rsidR="00000000" w:rsidRPr="00000000">
        <w:rPr>
          <w:sz w:val="24"/>
          <w:szCs w:val="24"/>
          <w:rtl w:val="0"/>
        </w:rPr>
        <w:t xml:space="preserve">“The legal standing of an attempt for eviction is a matter for the courts…”</w:t>
      </w:r>
    </w:p>
    <w:p w:rsidR="00000000" w:rsidDel="00000000" w:rsidP="00000000" w:rsidRDefault="00000000" w:rsidRPr="00000000" w14:paraId="00000035">
      <w:pPr>
        <w:spacing w:after="240" w:before="240" w:lineRule="auto"/>
        <w:rPr>
          <w:sz w:val="24"/>
          <w:szCs w:val="24"/>
        </w:rPr>
      </w:pPr>
      <w:r w:rsidDel="00000000" w:rsidR="00000000" w:rsidRPr="00000000">
        <w:rPr>
          <w:sz w:val="24"/>
          <w:szCs w:val="24"/>
          <w:rtl w:val="0"/>
        </w:rPr>
        <w:t xml:space="preserve">This is doctrinally unsustainable. Standing is both:</w:t>
      </w:r>
    </w:p>
    <w:p w:rsidR="00000000" w:rsidDel="00000000" w:rsidP="00000000" w:rsidRDefault="00000000" w:rsidRPr="00000000" w14:paraId="00000036">
      <w:pPr>
        <w:numPr>
          <w:ilvl w:val="0"/>
          <w:numId w:val="11"/>
        </w:numPr>
        <w:spacing w:after="0" w:afterAutospacing="0" w:before="240" w:lineRule="auto"/>
        <w:ind w:left="720" w:hanging="360"/>
        <w:rPr>
          <w:sz w:val="24"/>
          <w:szCs w:val="24"/>
        </w:rPr>
      </w:pPr>
      <w:r w:rsidDel="00000000" w:rsidR="00000000" w:rsidRPr="00000000">
        <w:rPr>
          <w:sz w:val="24"/>
          <w:szCs w:val="24"/>
          <w:rtl w:val="0"/>
        </w:rPr>
        <w:t xml:space="preserve">a </w:t>
      </w:r>
      <w:r w:rsidDel="00000000" w:rsidR="00000000" w:rsidRPr="00000000">
        <w:rPr>
          <w:b w:val="1"/>
          <w:bCs w:val="1"/>
          <w:sz w:val="24"/>
          <w:szCs w:val="24"/>
          <w:rtl w:val="0"/>
        </w:rPr>
        <w:t xml:space="preserve">judicial</w:t>
      </w:r>
      <w:r w:rsidDel="00000000" w:rsidR="00000000" w:rsidRPr="00000000">
        <w:rPr>
          <w:sz w:val="24"/>
          <w:szCs w:val="24"/>
          <w:rtl w:val="0"/>
        </w:rPr>
        <w:t xml:space="preserve"> question (validity of the order), and</w:t>
      </w:r>
    </w:p>
    <w:p w:rsidR="00000000" w:rsidDel="00000000" w:rsidP="00000000" w:rsidRDefault="00000000" w:rsidRPr="00000000" w14:paraId="00000037">
      <w:pPr>
        <w:numPr>
          <w:ilvl w:val="0"/>
          <w:numId w:val="11"/>
        </w:numPr>
        <w:spacing w:after="240" w:before="0" w:beforeAutospacing="0" w:lineRule="auto"/>
        <w:ind w:left="720" w:hanging="360"/>
        <w:rPr>
          <w:sz w:val="24"/>
          <w:szCs w:val="24"/>
        </w:rPr>
      </w:pPr>
      <w:r w:rsidDel="00000000" w:rsidR="00000000" w:rsidRPr="00000000">
        <w:rPr>
          <w:sz w:val="24"/>
          <w:szCs w:val="24"/>
          <w:rtl w:val="0"/>
        </w:rPr>
        <w:t xml:space="preserve">a </w:t>
      </w:r>
      <w:r w:rsidDel="00000000" w:rsidR="00000000" w:rsidRPr="00000000">
        <w:rPr>
          <w:b w:val="1"/>
          <w:bCs w:val="1"/>
          <w:sz w:val="24"/>
          <w:szCs w:val="24"/>
          <w:rtl w:val="0"/>
        </w:rPr>
        <w:t xml:space="preserve">regulatory</w:t>
      </w:r>
      <w:r w:rsidDel="00000000" w:rsidR="00000000" w:rsidRPr="00000000">
        <w:rPr>
          <w:sz w:val="24"/>
          <w:szCs w:val="24"/>
          <w:rtl w:val="0"/>
        </w:rPr>
        <w:t xml:space="preserve"> question (whether a firm misused the court process or acted without authority).</w:t>
      </w:r>
    </w:p>
    <w:p w:rsidR="00000000" w:rsidDel="00000000" w:rsidP="00000000" w:rsidRDefault="00000000" w:rsidRPr="00000000" w14:paraId="00000038">
      <w:pPr>
        <w:spacing w:after="240" w:before="240" w:lineRule="auto"/>
        <w:rPr>
          <w:sz w:val="24"/>
          <w:szCs w:val="24"/>
        </w:rPr>
      </w:pPr>
      <w:r w:rsidDel="00000000" w:rsidR="00000000" w:rsidRPr="00000000">
        <w:rPr>
          <w:sz w:val="24"/>
          <w:szCs w:val="24"/>
          <w:rtl w:val="0"/>
        </w:rPr>
        <w:t xml:space="preserve">The SRA Principles require solicitors to:</w:t>
      </w:r>
    </w:p>
    <w:p w:rsidR="00000000" w:rsidDel="00000000" w:rsidP="00000000" w:rsidRDefault="00000000" w:rsidRPr="00000000" w14:paraId="00000039">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uphold the rule of law,</w:t>
      </w:r>
    </w:p>
    <w:p w:rsidR="00000000" w:rsidDel="00000000" w:rsidP="00000000" w:rsidRDefault="00000000" w:rsidRPr="00000000" w14:paraId="0000003A">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act with integrity,</w:t>
      </w:r>
    </w:p>
    <w:p w:rsidR="00000000" w:rsidDel="00000000" w:rsidP="00000000" w:rsidRDefault="00000000" w:rsidRPr="00000000" w14:paraId="0000003B">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maintain public trust.</w:t>
      </w:r>
    </w:p>
    <w:p w:rsidR="00000000" w:rsidDel="00000000" w:rsidP="00000000" w:rsidRDefault="00000000" w:rsidRPr="00000000" w14:paraId="0000003C">
      <w:pPr>
        <w:spacing w:after="240" w:before="240" w:lineRule="auto"/>
        <w:rPr>
          <w:sz w:val="24"/>
          <w:szCs w:val="24"/>
        </w:rPr>
      </w:pPr>
      <w:r w:rsidDel="00000000" w:rsidR="00000000" w:rsidRPr="00000000">
        <w:rPr>
          <w:sz w:val="24"/>
          <w:szCs w:val="24"/>
          <w:rtl w:val="0"/>
        </w:rPr>
        <w:t xml:space="preserve">A firm litigating without authority is capable of breaching all three.</w:t>
      </w:r>
    </w:p>
    <w:p w:rsidR="00000000" w:rsidDel="00000000" w:rsidP="00000000" w:rsidRDefault="00000000" w:rsidRPr="00000000" w14:paraId="0000003D">
      <w:pPr>
        <w:pStyle w:val="Heading2"/>
        <w:keepNext w:val="0"/>
        <w:keepLines w:val="0"/>
        <w:spacing w:after="80" w:lineRule="auto"/>
        <w:rPr>
          <w:b w:val="1"/>
          <w:bCs w:val="1"/>
          <w:sz w:val="36"/>
          <w:szCs w:val="36"/>
        </w:rPr>
      </w:pPr>
      <w:bookmarkStart w:colFirst="0" w:colLast="0" w:name="_th4pryoirjpn" w:id="10"/>
      <w:bookmarkEnd w:id="10"/>
      <w:r w:rsidDel="00000000" w:rsidR="00000000" w:rsidRPr="00000000">
        <w:rPr>
          <w:b w:val="1"/>
          <w:bCs w:val="1"/>
          <w:sz w:val="36"/>
          <w:szCs w:val="36"/>
          <w:rtl w:val="0"/>
        </w:rPr>
        <w:t xml:space="preserve">4.2 “Acting on Instructions” as a Non‑Defence</w:t>
      </w:r>
    </w:p>
    <w:p w:rsidR="00000000" w:rsidDel="00000000" w:rsidP="00000000" w:rsidRDefault="00000000" w:rsidRPr="00000000" w14:paraId="0000003E">
      <w:pPr>
        <w:spacing w:after="240" w:before="240" w:lineRule="auto"/>
        <w:rPr>
          <w:sz w:val="24"/>
          <w:szCs w:val="24"/>
        </w:rPr>
      </w:pPr>
      <w:r w:rsidDel="00000000" w:rsidR="00000000" w:rsidRPr="00000000">
        <w:rPr>
          <w:sz w:val="24"/>
          <w:szCs w:val="24"/>
          <w:rtl w:val="0"/>
        </w:rPr>
        <w:t xml:space="preserve">The SRA asserts that the firm acted “on the instruction of its client”. This is irrelevant if the client itself lacks enforceable rights. A solicitor’s duty to the client is subordinate to duties to the court and the public interest.</w:t>
      </w:r>
    </w:p>
    <w:p w:rsidR="00000000" w:rsidDel="00000000" w:rsidP="00000000" w:rsidRDefault="00000000" w:rsidRPr="00000000" w14:paraId="0000003F">
      <w:pPr>
        <w:spacing w:after="240" w:before="240" w:lineRule="auto"/>
        <w:rPr>
          <w:sz w:val="24"/>
          <w:szCs w:val="24"/>
        </w:rPr>
      </w:pPr>
      <w:r w:rsidDel="00000000" w:rsidR="00000000" w:rsidRPr="00000000">
        <w:rPr>
          <w:sz w:val="24"/>
          <w:szCs w:val="24"/>
          <w:rtl w:val="0"/>
        </w:rPr>
        <w:t xml:space="preserve">The SRA did not test whether Skipton held the enforceable right it asserted. This is a failure of regulatory reasoning.</w:t>
      </w:r>
    </w:p>
    <w:p w:rsidR="00000000" w:rsidDel="00000000" w:rsidP="00000000" w:rsidRDefault="00000000" w:rsidRPr="00000000" w14:paraId="00000040">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pStyle w:val="Heading1"/>
        <w:keepNext w:val="0"/>
        <w:keepLines w:val="0"/>
        <w:spacing w:before="480" w:lineRule="auto"/>
        <w:rPr>
          <w:b w:val="1"/>
          <w:bCs w:val="1"/>
          <w:sz w:val="48"/>
          <w:szCs w:val="48"/>
        </w:rPr>
      </w:pPr>
      <w:bookmarkStart w:colFirst="0" w:colLast="0" w:name="_kt505koj4t0d" w:id="11"/>
      <w:bookmarkEnd w:id="11"/>
      <w:r w:rsidDel="00000000" w:rsidR="00000000" w:rsidRPr="00000000">
        <w:rPr>
          <w:b w:val="1"/>
          <w:bCs w:val="1"/>
          <w:sz w:val="48"/>
          <w:szCs w:val="48"/>
          <w:rtl w:val="0"/>
        </w:rPr>
        <w:t xml:space="preserve">5. Doctrinal Analysis of Concern 3: Misrepresentation to HM Land Registry</w:t>
      </w:r>
    </w:p>
    <w:p w:rsidR="00000000" w:rsidDel="00000000" w:rsidP="00000000" w:rsidRDefault="00000000" w:rsidRPr="00000000" w14:paraId="00000042">
      <w:pPr>
        <w:pStyle w:val="Heading2"/>
        <w:keepNext w:val="0"/>
        <w:keepLines w:val="0"/>
        <w:spacing w:after="80" w:lineRule="auto"/>
        <w:rPr>
          <w:b w:val="1"/>
          <w:bCs w:val="1"/>
          <w:sz w:val="36"/>
          <w:szCs w:val="36"/>
        </w:rPr>
      </w:pPr>
      <w:bookmarkStart w:colFirst="0" w:colLast="0" w:name="_yoaaslbozuxh" w:id="12"/>
      <w:bookmarkEnd w:id="12"/>
      <w:r w:rsidDel="00000000" w:rsidR="00000000" w:rsidRPr="00000000">
        <w:rPr>
          <w:b w:val="1"/>
          <w:bCs w:val="1"/>
          <w:sz w:val="36"/>
          <w:szCs w:val="36"/>
          <w:rtl w:val="0"/>
        </w:rPr>
        <w:t xml:space="preserve">5.1 Acceptance of Assurances Without Evidential Scrutiny</w:t>
      </w:r>
    </w:p>
    <w:p w:rsidR="00000000" w:rsidDel="00000000" w:rsidP="00000000" w:rsidRDefault="00000000" w:rsidRPr="00000000" w14:paraId="00000043">
      <w:pPr>
        <w:spacing w:after="240" w:before="240" w:lineRule="auto"/>
        <w:rPr>
          <w:sz w:val="24"/>
          <w:szCs w:val="24"/>
        </w:rPr>
      </w:pPr>
      <w:r w:rsidDel="00000000" w:rsidR="00000000" w:rsidRPr="00000000">
        <w:rPr>
          <w:sz w:val="24"/>
          <w:szCs w:val="24"/>
          <w:rtl w:val="0"/>
        </w:rPr>
        <w:t xml:space="preserve">The SRA concludes that interests were “correctly represented”. Yet the transcript records:</w:t>
      </w:r>
    </w:p>
    <w:p w:rsidR="00000000" w:rsidDel="00000000" w:rsidP="00000000" w:rsidRDefault="00000000" w:rsidRPr="00000000" w14:paraId="00000044">
      <w:pPr>
        <w:spacing w:after="240" w:before="240" w:lineRule="auto"/>
        <w:ind w:left="600" w:right="600" w:firstLine="0"/>
        <w:rPr>
          <w:sz w:val="24"/>
          <w:szCs w:val="24"/>
        </w:rPr>
      </w:pPr>
      <w:r w:rsidDel="00000000" w:rsidR="00000000" w:rsidRPr="00000000">
        <w:rPr>
          <w:sz w:val="24"/>
          <w:szCs w:val="24"/>
          <w:rtl w:val="0"/>
        </w:rPr>
        <w:t xml:space="preserve">“Even the Notice of Assignment was changed without his consent…” (Transcript, p.9)</w:t>
      </w:r>
    </w:p>
    <w:p w:rsidR="00000000" w:rsidDel="00000000" w:rsidP="00000000" w:rsidRDefault="00000000" w:rsidRPr="00000000" w14:paraId="00000045">
      <w:pPr>
        <w:spacing w:after="240" w:before="240" w:lineRule="auto"/>
        <w:rPr>
          <w:sz w:val="24"/>
          <w:szCs w:val="24"/>
        </w:rPr>
      </w:pPr>
      <w:r w:rsidDel="00000000" w:rsidR="00000000" w:rsidRPr="00000000">
        <w:rPr>
          <w:sz w:val="24"/>
          <w:szCs w:val="24"/>
          <w:rtl w:val="0"/>
        </w:rPr>
        <w:t xml:space="preserve">If the Notice of Assignment has been altered and the Deed of Assignment cannot be produced, any representation to HM Land Registry is inherently suspect.</w:t>
      </w:r>
    </w:p>
    <w:p w:rsidR="00000000" w:rsidDel="00000000" w:rsidP="00000000" w:rsidRDefault="00000000" w:rsidRPr="00000000" w14:paraId="00000046">
      <w:pPr>
        <w:spacing w:after="240" w:before="240" w:lineRule="auto"/>
        <w:rPr>
          <w:sz w:val="24"/>
          <w:szCs w:val="24"/>
        </w:rPr>
      </w:pPr>
      <w:r w:rsidDel="00000000" w:rsidR="00000000" w:rsidRPr="00000000">
        <w:rPr>
          <w:sz w:val="24"/>
          <w:szCs w:val="24"/>
          <w:rtl w:val="0"/>
        </w:rPr>
        <w:t xml:space="preserve">The SRA does not:</w:t>
      </w:r>
    </w:p>
    <w:p w:rsidR="00000000" w:rsidDel="00000000" w:rsidP="00000000" w:rsidRDefault="00000000" w:rsidRPr="00000000" w14:paraId="00000047">
      <w:pPr>
        <w:numPr>
          <w:ilvl w:val="0"/>
          <w:numId w:val="7"/>
        </w:numPr>
        <w:spacing w:after="0" w:afterAutospacing="0" w:before="240" w:lineRule="auto"/>
        <w:ind w:left="720" w:hanging="360"/>
        <w:rPr>
          <w:sz w:val="24"/>
          <w:szCs w:val="24"/>
        </w:rPr>
      </w:pPr>
      <w:r w:rsidDel="00000000" w:rsidR="00000000" w:rsidRPr="00000000">
        <w:rPr>
          <w:sz w:val="24"/>
          <w:szCs w:val="24"/>
          <w:rtl w:val="0"/>
        </w:rPr>
        <w:t xml:space="preserve">identify what documents it reviewed,</w:t>
      </w:r>
    </w:p>
    <w:p w:rsidR="00000000" w:rsidDel="00000000" w:rsidP="00000000" w:rsidRDefault="00000000" w:rsidRPr="00000000" w14:paraId="00000048">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reconcile contradictions,</w:t>
      </w:r>
    </w:p>
    <w:p w:rsidR="00000000" w:rsidDel="00000000" w:rsidP="00000000" w:rsidRDefault="00000000" w:rsidRPr="00000000" w14:paraId="00000049">
      <w:pPr>
        <w:numPr>
          <w:ilvl w:val="0"/>
          <w:numId w:val="7"/>
        </w:numPr>
        <w:spacing w:after="240" w:before="0" w:beforeAutospacing="0" w:lineRule="auto"/>
        <w:ind w:left="720" w:hanging="360"/>
        <w:rPr>
          <w:sz w:val="24"/>
          <w:szCs w:val="24"/>
        </w:rPr>
      </w:pPr>
      <w:r w:rsidDel="00000000" w:rsidR="00000000" w:rsidRPr="00000000">
        <w:rPr>
          <w:sz w:val="24"/>
          <w:szCs w:val="24"/>
          <w:rtl w:val="0"/>
        </w:rPr>
        <w:t xml:space="preserve">address missing authority documents.</w:t>
      </w:r>
    </w:p>
    <w:p w:rsidR="00000000" w:rsidDel="00000000" w:rsidP="00000000" w:rsidRDefault="00000000" w:rsidRPr="00000000" w14:paraId="0000004A">
      <w:pPr>
        <w:pStyle w:val="Heading2"/>
        <w:keepNext w:val="0"/>
        <w:keepLines w:val="0"/>
        <w:spacing w:after="80" w:lineRule="auto"/>
        <w:rPr>
          <w:b w:val="1"/>
          <w:bCs w:val="1"/>
          <w:sz w:val="36"/>
          <w:szCs w:val="36"/>
        </w:rPr>
      </w:pPr>
      <w:bookmarkStart w:colFirst="0" w:colLast="0" w:name="_spyf5iqp1uhk" w:id="13"/>
      <w:bookmarkEnd w:id="13"/>
      <w:r w:rsidDel="00000000" w:rsidR="00000000" w:rsidRPr="00000000">
        <w:rPr>
          <w:b w:val="1"/>
          <w:bCs w:val="1"/>
          <w:sz w:val="36"/>
          <w:szCs w:val="36"/>
          <w:rtl w:val="0"/>
        </w:rPr>
        <w:t xml:space="preserve">5.2 Outsourcing Regulatory Responsibility</w:t>
      </w:r>
    </w:p>
    <w:p w:rsidR="00000000" w:rsidDel="00000000" w:rsidP="00000000" w:rsidRDefault="00000000" w:rsidRPr="00000000" w14:paraId="0000004B">
      <w:pPr>
        <w:spacing w:after="240" w:before="240" w:lineRule="auto"/>
        <w:rPr>
          <w:sz w:val="24"/>
          <w:szCs w:val="24"/>
        </w:rPr>
      </w:pPr>
      <w:r w:rsidDel="00000000" w:rsidR="00000000" w:rsidRPr="00000000">
        <w:rPr>
          <w:sz w:val="24"/>
          <w:szCs w:val="24"/>
          <w:rtl w:val="0"/>
        </w:rPr>
        <w:t xml:space="preserve">The SRA states:</w:t>
      </w:r>
    </w:p>
    <w:p w:rsidR="00000000" w:rsidDel="00000000" w:rsidP="00000000" w:rsidRDefault="00000000" w:rsidRPr="00000000" w14:paraId="0000004C">
      <w:pPr>
        <w:spacing w:after="240" w:before="240" w:lineRule="auto"/>
        <w:ind w:left="600" w:right="600" w:firstLine="0"/>
        <w:rPr>
          <w:sz w:val="24"/>
          <w:szCs w:val="24"/>
        </w:rPr>
      </w:pPr>
      <w:r w:rsidDel="00000000" w:rsidR="00000000" w:rsidRPr="00000000">
        <w:rPr>
          <w:sz w:val="24"/>
          <w:szCs w:val="24"/>
          <w:rtl w:val="0"/>
        </w:rPr>
        <w:t xml:space="preserve">“The standing and validity of an application to the Land Registry is for the Land Registry to decide.”</w:t>
      </w:r>
    </w:p>
    <w:p w:rsidR="00000000" w:rsidDel="00000000" w:rsidP="00000000" w:rsidRDefault="00000000" w:rsidRPr="00000000" w14:paraId="0000004D">
      <w:pPr>
        <w:spacing w:after="240" w:before="240" w:lineRule="auto"/>
        <w:rPr>
          <w:sz w:val="24"/>
          <w:szCs w:val="24"/>
        </w:rPr>
      </w:pPr>
      <w:r w:rsidDel="00000000" w:rsidR="00000000" w:rsidRPr="00000000">
        <w:rPr>
          <w:sz w:val="24"/>
          <w:szCs w:val="24"/>
          <w:rtl w:val="0"/>
        </w:rPr>
        <w:t xml:space="preserve">This is doctrinally incomplete. Misrepresentation to a public register is:</w:t>
      </w:r>
    </w:p>
    <w:p w:rsidR="00000000" w:rsidDel="00000000" w:rsidP="00000000" w:rsidRDefault="00000000" w:rsidRPr="00000000" w14:paraId="0000004E">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a Land Registry issue </w:t>
      </w:r>
      <w:r w:rsidDel="00000000" w:rsidR="00000000" w:rsidRPr="00000000">
        <w:rPr>
          <w:b w:val="1"/>
          <w:bCs w:val="1"/>
          <w:sz w:val="24"/>
          <w:szCs w:val="24"/>
          <w:rtl w:val="0"/>
        </w:rPr>
        <w:t xml:space="preserve">and</w:t>
      </w:r>
    </w:p>
    <w:p w:rsidR="00000000" w:rsidDel="00000000" w:rsidP="00000000" w:rsidRDefault="00000000" w:rsidRPr="00000000" w14:paraId="0000004F">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a regulatory issue under para 1.4 and the SRA Principles.</w:t>
      </w:r>
    </w:p>
    <w:p w:rsidR="00000000" w:rsidDel="00000000" w:rsidP="00000000" w:rsidRDefault="00000000" w:rsidRPr="00000000" w14:paraId="00000050">
      <w:pPr>
        <w:spacing w:after="240" w:before="240" w:lineRule="auto"/>
        <w:rPr>
          <w:sz w:val="24"/>
          <w:szCs w:val="24"/>
        </w:rPr>
      </w:pPr>
      <w:r w:rsidDel="00000000" w:rsidR="00000000" w:rsidRPr="00000000">
        <w:rPr>
          <w:sz w:val="24"/>
          <w:szCs w:val="24"/>
          <w:rtl w:val="0"/>
        </w:rPr>
        <w:t xml:space="preserve">The SRA cannot abdicate responsibility by deferring to another body.</w:t>
      </w:r>
    </w:p>
    <w:p w:rsidR="00000000" w:rsidDel="00000000" w:rsidP="00000000" w:rsidRDefault="00000000" w:rsidRPr="00000000" w14:paraId="0000005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1"/>
        <w:keepNext w:val="0"/>
        <w:keepLines w:val="0"/>
        <w:spacing w:before="480" w:lineRule="auto"/>
        <w:rPr>
          <w:b w:val="1"/>
          <w:bCs w:val="1"/>
          <w:sz w:val="48"/>
          <w:szCs w:val="48"/>
        </w:rPr>
      </w:pPr>
      <w:bookmarkStart w:colFirst="0" w:colLast="0" w:name="_gzx1va6k65np" w:id="14"/>
      <w:bookmarkEnd w:id="14"/>
      <w:r w:rsidDel="00000000" w:rsidR="00000000" w:rsidRPr="00000000">
        <w:rPr>
          <w:b w:val="1"/>
          <w:bCs w:val="1"/>
          <w:sz w:val="48"/>
          <w:szCs w:val="48"/>
          <w:rtl w:val="0"/>
        </w:rPr>
        <w:t xml:space="preserve">6. Circular Reasoning and the Assessment Threshold Test</w:t>
      </w:r>
    </w:p>
    <w:p w:rsidR="00000000" w:rsidDel="00000000" w:rsidP="00000000" w:rsidRDefault="00000000" w:rsidRPr="00000000" w14:paraId="00000053">
      <w:pPr>
        <w:spacing w:after="240" w:before="240" w:lineRule="auto"/>
        <w:rPr>
          <w:sz w:val="24"/>
          <w:szCs w:val="24"/>
        </w:rPr>
      </w:pPr>
      <w:r w:rsidDel="00000000" w:rsidR="00000000" w:rsidRPr="00000000">
        <w:rPr>
          <w:sz w:val="24"/>
          <w:szCs w:val="24"/>
          <w:rtl w:val="0"/>
        </w:rPr>
        <w:t xml:space="preserve">The SRA repeatedly states:</w:t>
      </w:r>
    </w:p>
    <w:p w:rsidR="00000000" w:rsidDel="00000000" w:rsidP="00000000" w:rsidRDefault="00000000" w:rsidRPr="00000000" w14:paraId="00000054">
      <w:pPr>
        <w:spacing w:after="240" w:before="240" w:lineRule="auto"/>
        <w:ind w:left="600" w:right="600" w:firstLine="0"/>
        <w:rPr>
          <w:sz w:val="24"/>
          <w:szCs w:val="24"/>
        </w:rPr>
      </w:pPr>
      <w:r w:rsidDel="00000000" w:rsidR="00000000" w:rsidRPr="00000000">
        <w:rPr>
          <w:sz w:val="24"/>
          <w:szCs w:val="24"/>
          <w:rtl w:val="0"/>
        </w:rPr>
        <w:t xml:space="preserve">“No conclusive evidence…”</w:t>
      </w:r>
    </w:p>
    <w:p w:rsidR="00000000" w:rsidDel="00000000" w:rsidP="00000000" w:rsidRDefault="00000000" w:rsidRPr="00000000" w14:paraId="00000055">
      <w:pPr>
        <w:spacing w:after="240" w:before="240" w:lineRule="auto"/>
        <w:rPr>
          <w:sz w:val="24"/>
          <w:szCs w:val="24"/>
        </w:rPr>
      </w:pPr>
      <w:r w:rsidDel="00000000" w:rsidR="00000000" w:rsidRPr="00000000">
        <w:rPr>
          <w:sz w:val="24"/>
          <w:szCs w:val="24"/>
          <w:rtl w:val="0"/>
        </w:rPr>
        <w:t xml:space="preserve">Yet it refused to investigate the very documents that would provide conclusive evidence. This is a classic circularity problem:</w:t>
      </w:r>
    </w:p>
    <w:p w:rsidR="00000000" w:rsidDel="00000000" w:rsidP="00000000" w:rsidRDefault="00000000" w:rsidRPr="00000000" w14:paraId="00000056">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Decline to investigate.</w:t>
      </w:r>
    </w:p>
    <w:p w:rsidR="00000000" w:rsidDel="00000000" w:rsidP="00000000" w:rsidRDefault="00000000" w:rsidRPr="00000000" w14:paraId="00000057">
      <w:pPr>
        <w:numPr>
          <w:ilvl w:val="0"/>
          <w:numId w:val="10"/>
        </w:numPr>
        <w:spacing w:after="0" w:afterAutospacing="0" w:before="0" w:beforeAutospacing="0" w:lineRule="auto"/>
        <w:ind w:left="720" w:hanging="360"/>
        <w:rPr>
          <w:sz w:val="24"/>
          <w:szCs w:val="24"/>
        </w:rPr>
      </w:pPr>
      <w:r w:rsidDel="00000000" w:rsidR="00000000" w:rsidRPr="00000000">
        <w:rPr>
          <w:sz w:val="24"/>
          <w:szCs w:val="24"/>
          <w:rtl w:val="0"/>
        </w:rPr>
        <w:t xml:space="preserve">Note absence of evidence.</w:t>
      </w:r>
    </w:p>
    <w:p w:rsidR="00000000" w:rsidDel="00000000" w:rsidP="00000000" w:rsidRDefault="00000000" w:rsidRPr="00000000" w14:paraId="00000058">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Use absence of evidence as justification for declining to investigate.</w:t>
      </w:r>
    </w:p>
    <w:p w:rsidR="00000000" w:rsidDel="00000000" w:rsidP="00000000" w:rsidRDefault="00000000" w:rsidRPr="00000000" w14:paraId="00000059">
      <w:pPr>
        <w:spacing w:after="240" w:before="240" w:lineRule="auto"/>
        <w:rPr>
          <w:sz w:val="24"/>
          <w:szCs w:val="24"/>
        </w:rPr>
      </w:pPr>
      <w:r w:rsidDel="00000000" w:rsidR="00000000" w:rsidRPr="00000000">
        <w:rPr>
          <w:sz w:val="24"/>
          <w:szCs w:val="24"/>
          <w:rtl w:val="0"/>
        </w:rPr>
        <w:t xml:space="preserve">This is inconsistent with the </w:t>
      </w:r>
      <w:r w:rsidDel="00000000" w:rsidR="00000000" w:rsidRPr="00000000">
        <w:rPr>
          <w:b w:val="1"/>
          <w:bCs w:val="1"/>
          <w:sz w:val="24"/>
          <w:szCs w:val="24"/>
          <w:rtl w:val="0"/>
        </w:rPr>
        <w:t xml:space="preserve">Assessment Threshold Test</w:t>
      </w:r>
      <w:r w:rsidDel="00000000" w:rsidR="00000000" w:rsidRPr="00000000">
        <w:rPr>
          <w:sz w:val="24"/>
          <w:szCs w:val="24"/>
          <w:rtl w:val="0"/>
        </w:rPr>
        <w:t xml:space="preserve">, which asks whether concerns </w:t>
      </w:r>
      <w:r w:rsidDel="00000000" w:rsidR="00000000" w:rsidRPr="00000000">
        <w:rPr>
          <w:b w:val="1"/>
          <w:bCs w:val="1"/>
          <w:sz w:val="24"/>
          <w:szCs w:val="24"/>
          <w:rtl w:val="0"/>
        </w:rPr>
        <w:t xml:space="preserve">could</w:t>
      </w:r>
      <w:r w:rsidDel="00000000" w:rsidR="00000000" w:rsidRPr="00000000">
        <w:rPr>
          <w:sz w:val="24"/>
          <w:szCs w:val="24"/>
          <w:rtl w:val="0"/>
        </w:rPr>
        <w:t xml:space="preserve"> amount to misconduct if proven.</w:t>
      </w:r>
    </w:p>
    <w:p w:rsidR="00000000" w:rsidDel="00000000" w:rsidP="00000000" w:rsidRDefault="00000000" w:rsidRPr="00000000" w14:paraId="0000005A">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1"/>
        <w:keepNext w:val="0"/>
        <w:keepLines w:val="0"/>
        <w:spacing w:before="480" w:lineRule="auto"/>
        <w:rPr>
          <w:b w:val="1"/>
          <w:bCs w:val="1"/>
          <w:sz w:val="48"/>
          <w:szCs w:val="48"/>
        </w:rPr>
      </w:pPr>
      <w:bookmarkStart w:colFirst="0" w:colLast="0" w:name="_6vvuyihxes5d" w:id="15"/>
      <w:bookmarkEnd w:id="15"/>
      <w:r w:rsidDel="00000000" w:rsidR="00000000" w:rsidRPr="00000000">
        <w:rPr>
          <w:b w:val="1"/>
          <w:bCs w:val="1"/>
          <w:sz w:val="48"/>
          <w:szCs w:val="48"/>
          <w:rtl w:val="0"/>
        </w:rPr>
        <w:t xml:space="preserve">7. Racialised Risk and Structural Inequality in Regulatory Decision‑Making</w:t>
      </w:r>
    </w:p>
    <w:p w:rsidR="00000000" w:rsidDel="00000000" w:rsidP="00000000" w:rsidRDefault="00000000" w:rsidRPr="00000000" w14:paraId="0000005C">
      <w:pPr>
        <w:pStyle w:val="Heading2"/>
        <w:keepNext w:val="0"/>
        <w:keepLines w:val="0"/>
        <w:spacing w:after="80" w:lineRule="auto"/>
        <w:rPr>
          <w:b w:val="1"/>
          <w:bCs w:val="1"/>
          <w:sz w:val="36"/>
          <w:szCs w:val="36"/>
        </w:rPr>
      </w:pPr>
      <w:bookmarkStart w:colFirst="0" w:colLast="0" w:name="_wo86n63a8oxf" w:id="16"/>
      <w:bookmarkEnd w:id="16"/>
      <w:r w:rsidDel="00000000" w:rsidR="00000000" w:rsidRPr="00000000">
        <w:rPr>
          <w:b w:val="1"/>
          <w:bCs w:val="1"/>
          <w:sz w:val="36"/>
          <w:szCs w:val="36"/>
          <w:rtl w:val="0"/>
        </w:rPr>
        <w:t xml:space="preserve">7.1 The Public Sector Equality Duty (PSED)</w:t>
      </w:r>
    </w:p>
    <w:p w:rsidR="00000000" w:rsidDel="00000000" w:rsidP="00000000" w:rsidRDefault="00000000" w:rsidRPr="00000000" w14:paraId="0000005D">
      <w:pPr>
        <w:spacing w:after="240" w:before="240" w:lineRule="auto"/>
        <w:rPr>
          <w:sz w:val="24"/>
          <w:szCs w:val="24"/>
        </w:rPr>
      </w:pPr>
      <w:r w:rsidDel="00000000" w:rsidR="00000000" w:rsidRPr="00000000">
        <w:rPr>
          <w:sz w:val="24"/>
          <w:szCs w:val="24"/>
          <w:rtl w:val="0"/>
        </w:rPr>
        <w:t xml:space="preserve">As a public regulator, the SRA is subject to the Equality Act 2010, s.149, requiring due regard to:</w:t>
      </w:r>
    </w:p>
    <w:p w:rsidR="00000000" w:rsidDel="00000000" w:rsidP="00000000" w:rsidRDefault="00000000" w:rsidRPr="00000000" w14:paraId="0000005E">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eliminating discrimination,</w:t>
      </w:r>
    </w:p>
    <w:p w:rsidR="00000000" w:rsidDel="00000000" w:rsidP="00000000" w:rsidRDefault="00000000" w:rsidRPr="00000000" w14:paraId="0000005F">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advancing equality of opportunity,</w:t>
      </w:r>
    </w:p>
    <w:p w:rsidR="00000000" w:rsidDel="00000000" w:rsidP="00000000" w:rsidRDefault="00000000" w:rsidRPr="00000000" w14:paraId="00000060">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fostering good relations.</w:t>
      </w:r>
    </w:p>
    <w:p w:rsidR="00000000" w:rsidDel="00000000" w:rsidP="00000000" w:rsidRDefault="00000000" w:rsidRPr="00000000" w14:paraId="00000061">
      <w:pPr>
        <w:spacing w:after="240" w:before="240" w:lineRule="auto"/>
        <w:rPr>
          <w:sz w:val="24"/>
          <w:szCs w:val="24"/>
        </w:rPr>
      </w:pPr>
      <w:r w:rsidDel="00000000" w:rsidR="00000000" w:rsidRPr="00000000">
        <w:rPr>
          <w:sz w:val="24"/>
          <w:szCs w:val="24"/>
          <w:rtl w:val="0"/>
        </w:rPr>
        <w:t xml:space="preserve">This includes awareness of </w:t>
      </w:r>
      <w:r w:rsidDel="00000000" w:rsidR="00000000" w:rsidRPr="00000000">
        <w:rPr>
          <w:b w:val="1"/>
          <w:bCs w:val="1"/>
          <w:sz w:val="24"/>
          <w:szCs w:val="24"/>
          <w:rtl w:val="0"/>
        </w:rPr>
        <w:t xml:space="preserve">indirect discrimination</w:t>
      </w:r>
      <w:r w:rsidDel="00000000" w:rsidR="00000000" w:rsidRPr="00000000">
        <w:rPr>
          <w:sz w:val="24"/>
          <w:szCs w:val="24"/>
          <w:rtl w:val="0"/>
        </w:rPr>
        <w:t xml:space="preserve"> and </w:t>
      </w:r>
      <w:r w:rsidDel="00000000" w:rsidR="00000000" w:rsidRPr="00000000">
        <w:rPr>
          <w:b w:val="1"/>
          <w:bCs w:val="1"/>
          <w:sz w:val="24"/>
          <w:szCs w:val="24"/>
          <w:rtl w:val="0"/>
        </w:rPr>
        <w:t xml:space="preserve">structural disadvantage</w:t>
      </w:r>
      <w:r w:rsidDel="00000000" w:rsidR="00000000" w:rsidRPr="00000000">
        <w:rPr>
          <w:sz w:val="24"/>
          <w:szCs w:val="24"/>
          <w:rtl w:val="0"/>
        </w:rPr>
        <w:t xml:space="preserve">.</w:t>
      </w:r>
    </w:p>
    <w:p w:rsidR="00000000" w:rsidDel="00000000" w:rsidP="00000000" w:rsidRDefault="00000000" w:rsidRPr="00000000" w14:paraId="00000062">
      <w:pPr>
        <w:pStyle w:val="Heading2"/>
        <w:keepNext w:val="0"/>
        <w:keepLines w:val="0"/>
        <w:spacing w:after="80" w:lineRule="auto"/>
        <w:rPr>
          <w:b w:val="1"/>
          <w:bCs w:val="1"/>
          <w:sz w:val="36"/>
          <w:szCs w:val="36"/>
        </w:rPr>
      </w:pPr>
      <w:bookmarkStart w:colFirst="0" w:colLast="0" w:name="_1570zpxalemp" w:id="17"/>
      <w:bookmarkEnd w:id="17"/>
      <w:r w:rsidDel="00000000" w:rsidR="00000000" w:rsidRPr="00000000">
        <w:rPr>
          <w:b w:val="1"/>
          <w:bCs w:val="1"/>
          <w:sz w:val="36"/>
          <w:szCs w:val="36"/>
          <w:rtl w:val="0"/>
        </w:rPr>
        <w:t xml:space="preserve">7.2 Racialised Risk in Professional Discipline</w:t>
      </w:r>
    </w:p>
    <w:p w:rsidR="00000000" w:rsidDel="00000000" w:rsidP="00000000" w:rsidRDefault="00000000" w:rsidRPr="00000000" w14:paraId="00000063">
      <w:pPr>
        <w:spacing w:after="240" w:before="240" w:lineRule="auto"/>
        <w:rPr>
          <w:sz w:val="24"/>
          <w:szCs w:val="24"/>
        </w:rPr>
      </w:pPr>
      <w:r w:rsidDel="00000000" w:rsidR="00000000" w:rsidRPr="00000000">
        <w:rPr>
          <w:sz w:val="24"/>
          <w:szCs w:val="24"/>
          <w:rtl w:val="0"/>
        </w:rPr>
        <w:t xml:space="preserve">Research in regulatory studies shows that:</w:t>
      </w:r>
    </w:p>
    <w:p w:rsidR="00000000" w:rsidDel="00000000" w:rsidP="00000000" w:rsidRDefault="00000000" w:rsidRPr="00000000" w14:paraId="00000064">
      <w:pPr>
        <w:numPr>
          <w:ilvl w:val="0"/>
          <w:numId w:val="6"/>
        </w:numPr>
        <w:spacing w:after="0" w:afterAutospacing="0" w:before="240" w:lineRule="auto"/>
        <w:ind w:left="720" w:hanging="360"/>
        <w:rPr>
          <w:sz w:val="24"/>
          <w:szCs w:val="24"/>
        </w:rPr>
      </w:pPr>
      <w:r w:rsidDel="00000000" w:rsidR="00000000" w:rsidRPr="00000000">
        <w:rPr>
          <w:sz w:val="24"/>
          <w:szCs w:val="24"/>
          <w:rtl w:val="0"/>
        </w:rPr>
        <w:t xml:space="preserve">Minoritised complainants often face structural barriers in accessing justice.</w:t>
      </w:r>
    </w:p>
    <w:p w:rsidR="00000000" w:rsidDel="00000000" w:rsidP="00000000" w:rsidRDefault="00000000" w:rsidRPr="00000000" w14:paraId="00000065">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Their concerns are more likely to be dismissed on procedural grounds.</w:t>
      </w:r>
    </w:p>
    <w:p w:rsidR="00000000" w:rsidDel="00000000" w:rsidP="00000000" w:rsidRDefault="00000000" w:rsidRPr="00000000" w14:paraId="00000066">
      <w:pPr>
        <w:numPr>
          <w:ilvl w:val="0"/>
          <w:numId w:val="6"/>
        </w:numPr>
        <w:spacing w:after="0" w:afterAutospacing="0" w:before="0" w:beforeAutospacing="0" w:lineRule="auto"/>
        <w:ind w:left="720" w:hanging="360"/>
        <w:rPr>
          <w:sz w:val="24"/>
          <w:szCs w:val="24"/>
        </w:rPr>
      </w:pPr>
      <w:r w:rsidDel="00000000" w:rsidR="00000000" w:rsidRPr="00000000">
        <w:rPr>
          <w:sz w:val="24"/>
          <w:szCs w:val="24"/>
          <w:rtl w:val="0"/>
        </w:rPr>
        <w:t xml:space="preserve">Regulators often over‑rely on institutional assurances from established firms.</w:t>
      </w:r>
    </w:p>
    <w:p w:rsidR="00000000" w:rsidDel="00000000" w:rsidP="00000000" w:rsidRDefault="00000000" w:rsidRPr="00000000" w14:paraId="00000067">
      <w:pPr>
        <w:numPr>
          <w:ilvl w:val="0"/>
          <w:numId w:val="6"/>
        </w:numPr>
        <w:spacing w:after="240" w:before="0" w:beforeAutospacing="0" w:lineRule="auto"/>
        <w:ind w:left="720" w:hanging="360"/>
        <w:rPr>
          <w:sz w:val="24"/>
          <w:szCs w:val="24"/>
        </w:rPr>
      </w:pPr>
      <w:r w:rsidDel="00000000" w:rsidR="00000000" w:rsidRPr="00000000">
        <w:rPr>
          <w:sz w:val="24"/>
          <w:szCs w:val="24"/>
          <w:rtl w:val="0"/>
        </w:rPr>
        <w:t xml:space="preserve">Procedural technicalities disproportionately disadvantage those without formal representation.</w:t>
      </w:r>
    </w:p>
    <w:p w:rsidR="00000000" w:rsidDel="00000000" w:rsidP="00000000" w:rsidRDefault="00000000" w:rsidRPr="00000000" w14:paraId="00000068">
      <w:pPr>
        <w:spacing w:after="240" w:before="240" w:lineRule="auto"/>
        <w:rPr>
          <w:sz w:val="24"/>
          <w:szCs w:val="24"/>
        </w:rPr>
      </w:pPr>
      <w:r w:rsidDel="00000000" w:rsidR="00000000" w:rsidRPr="00000000">
        <w:rPr>
          <w:sz w:val="24"/>
          <w:szCs w:val="24"/>
          <w:rtl w:val="0"/>
        </w:rPr>
        <w:t xml:space="preserve">In this case:</w:t>
      </w:r>
    </w:p>
    <w:p w:rsidR="00000000" w:rsidDel="00000000" w:rsidP="00000000" w:rsidRDefault="00000000" w:rsidRPr="00000000" w14:paraId="00000069">
      <w:pPr>
        <w:numPr>
          <w:ilvl w:val="0"/>
          <w:numId w:val="13"/>
        </w:numPr>
        <w:spacing w:after="0" w:afterAutospacing="0" w:before="240" w:lineRule="auto"/>
        <w:ind w:left="720" w:hanging="360"/>
        <w:rPr>
          <w:sz w:val="24"/>
          <w:szCs w:val="24"/>
        </w:rPr>
      </w:pPr>
      <w:r w:rsidDel="00000000" w:rsidR="00000000" w:rsidRPr="00000000">
        <w:rPr>
          <w:sz w:val="24"/>
          <w:szCs w:val="24"/>
          <w:rtl w:val="0"/>
        </w:rPr>
        <w:t xml:space="preserve">A Black paralegal advocate’s rights of audience were challenged.</w:t>
      </w:r>
    </w:p>
    <w:p w:rsidR="00000000" w:rsidDel="00000000" w:rsidP="00000000" w:rsidRDefault="00000000" w:rsidRPr="00000000" w14:paraId="0000006A">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Only “limited” rights were granted “for this hearing only” (Transcript, p.4).</w:t>
      </w:r>
    </w:p>
    <w:p w:rsidR="00000000" w:rsidDel="00000000" w:rsidP="00000000" w:rsidRDefault="00000000" w:rsidRPr="00000000" w14:paraId="0000006B">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The court refused to reach the substance due to CPR technicalities.</w:t>
      </w:r>
    </w:p>
    <w:p w:rsidR="00000000" w:rsidDel="00000000" w:rsidP="00000000" w:rsidRDefault="00000000" w:rsidRPr="00000000" w14:paraId="0000006C">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The SRA relied on the existence of court proceedings while ignoring the transcript.</w:t>
      </w:r>
    </w:p>
    <w:p w:rsidR="00000000" w:rsidDel="00000000" w:rsidP="00000000" w:rsidRDefault="00000000" w:rsidRPr="00000000" w14:paraId="0000006D">
      <w:pPr>
        <w:numPr>
          <w:ilvl w:val="0"/>
          <w:numId w:val="13"/>
        </w:numPr>
        <w:spacing w:after="240" w:before="0" w:beforeAutospacing="0" w:lineRule="auto"/>
        <w:ind w:left="720" w:hanging="360"/>
        <w:rPr>
          <w:sz w:val="24"/>
          <w:szCs w:val="24"/>
        </w:rPr>
      </w:pPr>
      <w:r w:rsidDel="00000000" w:rsidR="00000000" w:rsidRPr="00000000">
        <w:rPr>
          <w:sz w:val="24"/>
          <w:szCs w:val="24"/>
          <w:rtl w:val="0"/>
        </w:rPr>
        <w:t xml:space="preserve">A vulnerable homeowner faces eviction on untested assumptions.</w:t>
      </w:r>
    </w:p>
    <w:p w:rsidR="00000000" w:rsidDel="00000000" w:rsidP="00000000" w:rsidRDefault="00000000" w:rsidRPr="00000000" w14:paraId="0000006E">
      <w:pPr>
        <w:spacing w:after="240" w:before="240" w:lineRule="auto"/>
        <w:rPr>
          <w:sz w:val="24"/>
          <w:szCs w:val="24"/>
        </w:rPr>
      </w:pPr>
      <w:r w:rsidDel="00000000" w:rsidR="00000000" w:rsidRPr="00000000">
        <w:rPr>
          <w:sz w:val="24"/>
          <w:szCs w:val="24"/>
          <w:rtl w:val="0"/>
        </w:rPr>
        <w:t xml:space="preserve">This pattern creates a </w:t>
      </w:r>
      <w:r w:rsidDel="00000000" w:rsidR="00000000" w:rsidRPr="00000000">
        <w:rPr>
          <w:b w:val="1"/>
          <w:bCs w:val="1"/>
          <w:sz w:val="24"/>
          <w:szCs w:val="24"/>
          <w:rtl w:val="0"/>
        </w:rPr>
        <w:t xml:space="preserve">racialised structural risk</w:t>
      </w:r>
      <w:r w:rsidDel="00000000" w:rsidR="00000000" w:rsidRPr="00000000">
        <w:rPr>
          <w:sz w:val="24"/>
          <w:szCs w:val="24"/>
          <w:rtl w:val="0"/>
        </w:rPr>
        <w:t xml:space="preserve">, even without explicit discriminatory intent.</w:t>
      </w:r>
    </w:p>
    <w:p w:rsidR="00000000" w:rsidDel="00000000" w:rsidP="00000000" w:rsidRDefault="00000000" w:rsidRPr="00000000" w14:paraId="0000006F">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1"/>
        <w:keepNext w:val="0"/>
        <w:keepLines w:val="0"/>
        <w:spacing w:before="480" w:lineRule="auto"/>
        <w:rPr>
          <w:b w:val="1"/>
          <w:bCs w:val="1"/>
          <w:sz w:val="48"/>
          <w:szCs w:val="48"/>
        </w:rPr>
      </w:pPr>
      <w:bookmarkStart w:colFirst="0" w:colLast="0" w:name="_4iphrox8nm65" w:id="18"/>
      <w:bookmarkEnd w:id="18"/>
      <w:r w:rsidDel="00000000" w:rsidR="00000000" w:rsidRPr="00000000">
        <w:rPr>
          <w:b w:val="1"/>
          <w:bCs w:val="1"/>
          <w:sz w:val="48"/>
          <w:szCs w:val="48"/>
          <w:rtl w:val="0"/>
        </w:rPr>
        <w:t xml:space="preserve">8. Conclusion: A Case Study in Regulatory Abdication</w:t>
      </w:r>
    </w:p>
    <w:p w:rsidR="00000000" w:rsidDel="00000000" w:rsidP="00000000" w:rsidRDefault="00000000" w:rsidRPr="00000000" w14:paraId="00000071">
      <w:pPr>
        <w:spacing w:after="240" w:before="240" w:lineRule="auto"/>
        <w:rPr>
          <w:sz w:val="24"/>
          <w:szCs w:val="24"/>
        </w:rPr>
      </w:pPr>
      <w:r w:rsidDel="00000000" w:rsidR="00000000" w:rsidRPr="00000000">
        <w:rPr>
          <w:sz w:val="24"/>
          <w:szCs w:val="24"/>
          <w:rtl w:val="0"/>
        </w:rPr>
        <w:t xml:space="preserve">The SRA’s decision in Case RGC‑000175478 is doctrinally flawed on multiple grounds:</w:t>
      </w:r>
    </w:p>
    <w:p w:rsidR="00000000" w:rsidDel="00000000" w:rsidP="00000000" w:rsidRDefault="00000000" w:rsidRPr="00000000" w14:paraId="00000072">
      <w:pPr>
        <w:numPr>
          <w:ilvl w:val="0"/>
          <w:numId w:val="5"/>
        </w:numPr>
        <w:spacing w:after="0" w:afterAutospacing="0" w:before="240" w:lineRule="auto"/>
        <w:ind w:left="720" w:hanging="360"/>
        <w:rPr>
          <w:sz w:val="24"/>
          <w:szCs w:val="24"/>
        </w:rPr>
      </w:pPr>
      <w:r w:rsidDel="00000000" w:rsidR="00000000" w:rsidRPr="00000000">
        <w:rPr>
          <w:b w:val="1"/>
          <w:bCs w:val="1"/>
          <w:sz w:val="24"/>
          <w:szCs w:val="24"/>
          <w:rtl w:val="0"/>
        </w:rPr>
        <w:t xml:space="preserve">Procedural unreliability</w:t>
      </w:r>
      <w:r w:rsidDel="00000000" w:rsidR="00000000" w:rsidRPr="00000000">
        <w:rPr>
          <w:sz w:val="24"/>
          <w:szCs w:val="24"/>
          <w:rtl w:val="0"/>
        </w:rPr>
        <w:t xml:space="preserve"> (chronological impossibility).</w:t>
      </w:r>
    </w:p>
    <w:p w:rsidR="00000000" w:rsidDel="00000000" w:rsidP="00000000" w:rsidRDefault="00000000" w:rsidRPr="00000000" w14:paraId="00000073">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Misapplication of regulatory rules</w:t>
      </w:r>
      <w:r w:rsidDel="00000000" w:rsidR="00000000" w:rsidRPr="00000000">
        <w:rPr>
          <w:sz w:val="24"/>
          <w:szCs w:val="24"/>
          <w:rtl w:val="0"/>
        </w:rPr>
        <w:t xml:space="preserve"> (para 1.4, Principles).</w:t>
      </w:r>
    </w:p>
    <w:p w:rsidR="00000000" w:rsidDel="00000000" w:rsidP="00000000" w:rsidRDefault="00000000" w:rsidRPr="00000000" w14:paraId="00000074">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Evidential mischaracterisation</w:t>
      </w:r>
      <w:r w:rsidDel="00000000" w:rsidR="00000000" w:rsidRPr="00000000">
        <w:rPr>
          <w:sz w:val="24"/>
          <w:szCs w:val="24"/>
          <w:rtl w:val="0"/>
        </w:rPr>
        <w:t xml:space="preserve"> (accepting “unawareness” as exculpatory).</w:t>
      </w:r>
    </w:p>
    <w:p w:rsidR="00000000" w:rsidDel="00000000" w:rsidP="00000000" w:rsidRDefault="00000000" w:rsidRPr="00000000" w14:paraId="00000075">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Jurisdictional misunderstanding</w:t>
      </w:r>
      <w:r w:rsidDel="00000000" w:rsidR="00000000" w:rsidRPr="00000000">
        <w:rPr>
          <w:sz w:val="24"/>
          <w:szCs w:val="24"/>
          <w:rtl w:val="0"/>
        </w:rPr>
        <w:t xml:space="preserve"> (standing as “for the courts”).</w:t>
      </w:r>
    </w:p>
    <w:p w:rsidR="00000000" w:rsidDel="00000000" w:rsidP="00000000" w:rsidRDefault="00000000" w:rsidRPr="00000000" w14:paraId="00000076">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Circular reasoning</w:t>
      </w:r>
      <w:r w:rsidDel="00000000" w:rsidR="00000000" w:rsidRPr="00000000">
        <w:rPr>
          <w:sz w:val="24"/>
          <w:szCs w:val="24"/>
          <w:rtl w:val="0"/>
        </w:rPr>
        <w:t xml:space="preserve"> (no evidence because no investigation).</w:t>
      </w:r>
    </w:p>
    <w:p w:rsidR="00000000" w:rsidDel="00000000" w:rsidP="00000000" w:rsidRDefault="00000000" w:rsidRPr="00000000" w14:paraId="00000077">
      <w:pPr>
        <w:numPr>
          <w:ilvl w:val="0"/>
          <w:numId w:val="5"/>
        </w:numPr>
        <w:spacing w:after="240" w:before="0" w:beforeAutospacing="0" w:lineRule="auto"/>
        <w:ind w:left="720" w:hanging="360"/>
        <w:rPr>
          <w:sz w:val="24"/>
          <w:szCs w:val="24"/>
        </w:rPr>
      </w:pPr>
      <w:r w:rsidDel="00000000" w:rsidR="00000000" w:rsidRPr="00000000">
        <w:rPr>
          <w:b w:val="1"/>
          <w:bCs w:val="1"/>
          <w:sz w:val="24"/>
          <w:szCs w:val="24"/>
          <w:rtl w:val="0"/>
        </w:rPr>
        <w:t xml:space="preserve">Equality‑law blind spots</w:t>
      </w:r>
      <w:r w:rsidDel="00000000" w:rsidR="00000000" w:rsidRPr="00000000">
        <w:rPr>
          <w:sz w:val="24"/>
          <w:szCs w:val="24"/>
          <w:rtl w:val="0"/>
        </w:rPr>
        <w:t xml:space="preserve"> (racialised risk).</w:t>
      </w:r>
    </w:p>
    <w:p w:rsidR="00000000" w:rsidDel="00000000" w:rsidP="00000000" w:rsidRDefault="00000000" w:rsidRPr="00000000" w14:paraId="00000078">
      <w:pPr>
        <w:spacing w:after="240" w:before="240" w:lineRule="auto"/>
        <w:rPr>
          <w:sz w:val="24"/>
          <w:szCs w:val="24"/>
        </w:rPr>
      </w:pPr>
      <w:r w:rsidDel="00000000" w:rsidR="00000000" w:rsidRPr="00000000">
        <w:rPr>
          <w:sz w:val="24"/>
          <w:szCs w:val="24"/>
          <w:rtl w:val="0"/>
        </w:rPr>
        <w:t xml:space="preserve">As a public document, the decision warrants academic scrutiny. It illustrates how regulatory discretion, when exercised without doctrinal rigour, can produce outcomes that undermine the rule of law, public trust, and equality before the law.</w:t>
      </w:r>
    </w:p>
    <w:p w:rsidR="00000000" w:rsidDel="00000000" w:rsidP="00000000" w:rsidRDefault="00000000" w:rsidRPr="00000000" w14:paraId="00000079">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